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38E" w:rsidRDefault="00E1138E" w:rsidP="00E1138E">
      <w:pPr>
        <w:pStyle w:val="Titel"/>
        <w:rPr>
          <w:szCs w:val="24"/>
        </w:rPr>
      </w:pPr>
      <w:r>
        <w:rPr>
          <w:szCs w:val="24"/>
        </w:rPr>
        <w:t>AUFTRAGSERTEILUNG</w:t>
      </w:r>
    </w:p>
    <w:p w:rsidR="00E1138E" w:rsidRDefault="00E1138E" w:rsidP="00E1138E"/>
    <w:p w:rsidR="00E1138E" w:rsidRDefault="00E1138E" w:rsidP="00E1138E"/>
    <w:p w:rsidR="00E1138E" w:rsidRPr="00093474" w:rsidRDefault="00E1138E" w:rsidP="00E1138E">
      <w:pPr>
        <w:rPr>
          <w:b/>
          <w:bCs/>
        </w:rPr>
      </w:pPr>
      <w:r w:rsidRPr="00093474">
        <w:t>Name und Anschrift Mandant</w:t>
      </w:r>
    </w:p>
    <w:p w:rsidR="00E1138E" w:rsidRDefault="00E1138E" w:rsidP="00E1138E">
      <w:pPr>
        <w:jc w:val="center"/>
      </w:pPr>
    </w:p>
    <w:p w:rsidR="00E1138E" w:rsidRDefault="00E1138E" w:rsidP="00E1138E"/>
    <w:p w:rsidR="00E1138E" w:rsidRDefault="00E1138E" w:rsidP="00E1138E"/>
    <w:p w:rsidR="00E1138E" w:rsidRDefault="00E1138E" w:rsidP="00E1138E"/>
    <w:p w:rsidR="00E1138E" w:rsidRDefault="00E1138E" w:rsidP="00E1138E"/>
    <w:p w:rsidR="00E1138E" w:rsidRDefault="00E1138E" w:rsidP="00E1138E"/>
    <w:p w:rsidR="00E1138E" w:rsidRDefault="00E1138E" w:rsidP="00E1138E"/>
    <w:p w:rsidR="00E1138E" w:rsidRDefault="00E1138E" w:rsidP="00E1138E"/>
    <w:p w:rsidR="00E1138E" w:rsidRPr="00093474" w:rsidRDefault="00E1138E" w:rsidP="00E1138E">
      <w:r w:rsidRPr="00093474">
        <w:t>Hiermit erteile ich meinem steuerlichen Berater, Herrn</w:t>
      </w:r>
    </w:p>
    <w:p w:rsidR="00E1138E" w:rsidRDefault="00E1138E" w:rsidP="00E1138E">
      <w:pPr>
        <w:rPr>
          <w:sz w:val="10"/>
          <w:szCs w:val="24"/>
        </w:rPr>
      </w:pPr>
    </w:p>
    <w:p w:rsidR="00E1138E" w:rsidRDefault="00E1138E" w:rsidP="00E1138E">
      <w:pPr>
        <w:jc w:val="center"/>
        <w:rPr>
          <w:sz w:val="24"/>
          <w:szCs w:val="24"/>
        </w:rPr>
      </w:pPr>
      <w:r>
        <w:rPr>
          <w:noProof/>
          <w:sz w:val="24"/>
          <w:szCs w:val="24"/>
        </w:rPr>
        <w:drawing>
          <wp:inline distT="0" distB="0" distL="0" distR="0">
            <wp:extent cx="685800" cy="371475"/>
            <wp:effectExtent l="0" t="0" r="0" b="9525"/>
            <wp:docPr id="1" name="Grafik 1" descr="briefkopf_penka2 n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kopf_penka2 nur Logo"/>
                    <pic:cNvPicPr>
                      <a:picLocks noChangeAspect="1" noChangeArrowheads="1"/>
                    </pic:cNvPicPr>
                  </pic:nvPicPr>
                  <pic:blipFill>
                    <a:blip r:embed="rId6" cstate="print">
                      <a:extLst>
                        <a:ext uri="{28A0092B-C50C-407E-A947-70E740481C1C}">
                          <a14:useLocalDpi xmlns:a14="http://schemas.microsoft.com/office/drawing/2010/main" val="0"/>
                        </a:ext>
                      </a:extLst>
                    </a:blip>
                    <a:srcRect l="29250" r="32947" b="60336"/>
                    <a:stretch>
                      <a:fillRect/>
                    </a:stretch>
                  </pic:blipFill>
                  <pic:spPr bwMode="auto">
                    <a:xfrm>
                      <a:off x="0" y="0"/>
                      <a:ext cx="685800" cy="371475"/>
                    </a:xfrm>
                    <a:prstGeom prst="rect">
                      <a:avLst/>
                    </a:prstGeom>
                    <a:noFill/>
                    <a:ln>
                      <a:noFill/>
                    </a:ln>
                  </pic:spPr>
                </pic:pic>
              </a:graphicData>
            </a:graphic>
          </wp:inline>
        </w:drawing>
      </w:r>
    </w:p>
    <w:p w:rsidR="00E1138E" w:rsidRDefault="00E1138E" w:rsidP="00E1138E">
      <w:pPr>
        <w:pStyle w:val="berschrift2"/>
        <w:rPr>
          <w:sz w:val="16"/>
        </w:rPr>
      </w:pPr>
    </w:p>
    <w:p w:rsidR="00E1138E" w:rsidRDefault="00E1138E" w:rsidP="00E1138E">
      <w:pPr>
        <w:pStyle w:val="berschrift2"/>
        <w:rPr>
          <w:sz w:val="20"/>
        </w:rPr>
      </w:pPr>
      <w:r>
        <w:rPr>
          <w:sz w:val="20"/>
        </w:rPr>
        <w:t>Stefan Penka</w:t>
      </w:r>
    </w:p>
    <w:p w:rsidR="00E1138E" w:rsidRDefault="00E1138E" w:rsidP="00E1138E">
      <w:pPr>
        <w:pStyle w:val="berschrift2"/>
        <w:rPr>
          <w:sz w:val="20"/>
        </w:rPr>
      </w:pPr>
      <w:r>
        <w:rPr>
          <w:sz w:val="20"/>
        </w:rPr>
        <w:t>Steuerberater</w:t>
      </w:r>
    </w:p>
    <w:p w:rsidR="00E1138E" w:rsidRDefault="00E1138E" w:rsidP="00E1138E">
      <w:pPr>
        <w:pStyle w:val="berschrift2"/>
        <w:rPr>
          <w:sz w:val="20"/>
        </w:rPr>
      </w:pPr>
      <w:r>
        <w:rPr>
          <w:sz w:val="20"/>
        </w:rPr>
        <w:t>Cranachweg 3</w:t>
      </w:r>
    </w:p>
    <w:p w:rsidR="00E1138E" w:rsidRDefault="00E1138E" w:rsidP="00E1138E">
      <w:pPr>
        <w:pStyle w:val="berschrift2"/>
        <w:rPr>
          <w:sz w:val="20"/>
        </w:rPr>
      </w:pPr>
      <w:r>
        <w:rPr>
          <w:sz w:val="20"/>
        </w:rPr>
        <w:t>93051 Regensburg</w:t>
      </w:r>
    </w:p>
    <w:p w:rsidR="00E1138E" w:rsidRDefault="00E1138E" w:rsidP="00E1138E">
      <w:pPr>
        <w:pStyle w:val="berschrift2"/>
        <w:rPr>
          <w:sz w:val="20"/>
        </w:rPr>
      </w:pPr>
      <w:r>
        <w:rPr>
          <w:sz w:val="20"/>
        </w:rPr>
        <w:t>Telefon 0941/59540-0</w:t>
      </w:r>
    </w:p>
    <w:p w:rsidR="00E1138E" w:rsidRDefault="00E1138E" w:rsidP="00E1138E">
      <w:pPr>
        <w:pStyle w:val="berschrift2"/>
        <w:rPr>
          <w:sz w:val="20"/>
        </w:rPr>
      </w:pPr>
      <w:r>
        <w:rPr>
          <w:sz w:val="20"/>
        </w:rPr>
        <w:t>Telefax  0941/59540-13</w:t>
      </w:r>
    </w:p>
    <w:p w:rsidR="00E1138E" w:rsidRDefault="00E1138E" w:rsidP="00E1138E"/>
    <w:p w:rsidR="00E1138E" w:rsidRDefault="00E1138E" w:rsidP="00E1138E">
      <w:r>
        <w:t>für das Wirtschaftsjahr  2017 folgenden Auftrag:</w:t>
      </w:r>
    </w:p>
    <w:p w:rsidR="00E1138E" w:rsidRDefault="00E1138E" w:rsidP="00E1138E">
      <w:pPr>
        <w:pStyle w:val="berschrift3"/>
        <w:rPr>
          <w:sz w:val="20"/>
        </w:rPr>
      </w:pPr>
      <w:r>
        <w:rPr>
          <w:sz w:val="20"/>
        </w:rPr>
        <w:t xml:space="preserve">        </w:t>
      </w:r>
    </w:p>
    <w:p w:rsidR="00E1138E" w:rsidRDefault="00E1138E" w:rsidP="00E1138E">
      <w:pPr>
        <w:pStyle w:val="berschrift3"/>
        <w:rPr>
          <w:sz w:val="20"/>
        </w:rPr>
      </w:pPr>
      <w:r>
        <w:rPr>
          <w:sz w:val="20"/>
        </w:rPr>
        <w:t>Erstellung</w:t>
      </w:r>
    </w:p>
    <w:p w:rsidR="00E1138E" w:rsidRDefault="00E1138E" w:rsidP="00E1138E"/>
    <w:p w:rsidR="00E1138E" w:rsidRDefault="00E1138E" w:rsidP="00E1138E">
      <w:r>
        <w:t xml:space="preserve">[   ]     der Lohnbuchführung </w:t>
      </w:r>
    </w:p>
    <w:p w:rsidR="00E1138E" w:rsidRDefault="00E1138E" w:rsidP="00E1138E"/>
    <w:p w:rsidR="00E1138E" w:rsidRDefault="00E1138E" w:rsidP="00E1138E">
      <w:pPr>
        <w:ind w:left="567" w:hanging="567"/>
      </w:pPr>
      <w:r>
        <w:t>[   ]     der Finanzbuchführung mit/ohne Kostenrechnung; die Überprüfung der Belege bezüglich der Anforderungen der §§ 14 und 15 UStG zum Vorsteuerabzug ist nicht Gegenstand des Auftrags.</w:t>
      </w:r>
      <w:r>
        <w:br/>
        <w:t>(über eine mögliche Befreiung von der Buchführungspflicht gem. § 141 AO bin ich informiert worden)</w:t>
      </w:r>
    </w:p>
    <w:p w:rsidR="00E1138E" w:rsidRDefault="00E1138E" w:rsidP="00E1138E">
      <w:pPr>
        <w:ind w:left="567" w:hanging="567"/>
      </w:pPr>
    </w:p>
    <w:p w:rsidR="00E1138E" w:rsidRDefault="00E1138E" w:rsidP="00E1138E">
      <w:pPr>
        <w:ind w:left="567" w:hanging="567"/>
      </w:pPr>
      <w:r>
        <w:t xml:space="preserve">[   ]     der Finanzbuchführung mit/ohne Kostenrechnung mit </w:t>
      </w:r>
      <w:proofErr w:type="spellStart"/>
      <w:r>
        <w:t>Controllingreport</w:t>
      </w:r>
      <w:proofErr w:type="spellEnd"/>
      <w:r>
        <w:t>; die Überprüfung der Belege bezüglich der Anforderungen der §§ 14 und 15 UStG zum Vorsteuerabzug ist nicht Gegenstand des Auftrags.</w:t>
      </w:r>
    </w:p>
    <w:p w:rsidR="00E1138E" w:rsidRDefault="00E1138E" w:rsidP="00E1138E">
      <w:pPr>
        <w:ind w:left="567" w:hanging="567"/>
      </w:pPr>
    </w:p>
    <w:p w:rsidR="00E1138E" w:rsidRDefault="00E1138E" w:rsidP="00E1138E">
      <w:r>
        <w:t>[   ]     Unternehmensplanung (Umsatz-, Personalkostenplanung, Kostenanalyse, Liquiditätsplanung)</w:t>
      </w:r>
    </w:p>
    <w:p w:rsidR="00E1138E" w:rsidRDefault="00E1138E" w:rsidP="00E1138E"/>
    <w:p w:rsidR="00E1138E" w:rsidRDefault="00E1138E" w:rsidP="00E1138E">
      <w:pPr>
        <w:pStyle w:val="Textkrper-Einzug3"/>
        <w:rPr>
          <w:sz w:val="20"/>
          <w:szCs w:val="20"/>
        </w:rPr>
      </w:pPr>
      <w:r>
        <w:rPr>
          <w:sz w:val="20"/>
          <w:szCs w:val="20"/>
        </w:rPr>
        <w:t>[   ]     Rating-Beratung (Überprüfung-Verbesserung der Kreditwürdigkeit, Unterstützung bei   Bankgesprächen, Analyse der Erfolgs-, Finanz- und Vermögenslage)</w:t>
      </w:r>
    </w:p>
    <w:p w:rsidR="00E1138E" w:rsidRDefault="00E1138E" w:rsidP="00E1138E">
      <w:pPr>
        <w:pStyle w:val="Textkrper-Einzug3"/>
        <w:rPr>
          <w:sz w:val="20"/>
          <w:szCs w:val="20"/>
        </w:rPr>
      </w:pPr>
    </w:p>
    <w:p w:rsidR="00E1138E" w:rsidRDefault="00E1138E" w:rsidP="00E1138E">
      <w:pPr>
        <w:ind w:left="567" w:hanging="567"/>
      </w:pPr>
      <w:r>
        <w:t xml:space="preserve">[   ]     Finanzierungsberatung – Investitionsberatung </w:t>
      </w:r>
    </w:p>
    <w:p w:rsidR="00E1138E" w:rsidRDefault="00E1138E" w:rsidP="00E1138E">
      <w:pPr>
        <w:ind w:left="567" w:hanging="567"/>
      </w:pPr>
    </w:p>
    <w:p w:rsidR="00E1138E" w:rsidRDefault="00E1138E" w:rsidP="00E1138E">
      <w:r>
        <w:t>[   ]     des Jahresabschlusses nach Handelsrecht mit Erstellungsbericht und Anhang</w:t>
      </w:r>
    </w:p>
    <w:p w:rsidR="00E1138E" w:rsidRDefault="00E1138E" w:rsidP="00E1138E"/>
    <w:p w:rsidR="00E1138E" w:rsidRDefault="00E1138E" w:rsidP="00E1138E">
      <w:pPr>
        <w:tabs>
          <w:tab w:val="left" w:pos="1985"/>
        </w:tabs>
        <w:ind w:left="1985" w:hanging="567"/>
      </w:pPr>
      <w:r>
        <w:t>[   ]</w:t>
      </w:r>
      <w:r>
        <w:tab/>
        <w:t>ohne Prüfungshandlungen (Eine Beurteilung der Ordnungsmäßigkeit der dem Auftragnehmer übergebenen Unterlagen und der erteilten Auskünfte, eine Prüfung der Wertansätze und eine Untersuchungen zur Aufdeckung von evtl. Unregelmäßigkeiten sowie eine insolvenzrechtliche Überschuldungsprüfung, ist nicht Gegenstand des Auftrages.)</w:t>
      </w:r>
    </w:p>
    <w:p w:rsidR="00E1138E" w:rsidRDefault="00E1138E" w:rsidP="00E1138E">
      <w:pPr>
        <w:tabs>
          <w:tab w:val="left" w:pos="1985"/>
        </w:tabs>
        <w:ind w:left="1985" w:hanging="567"/>
      </w:pPr>
    </w:p>
    <w:p w:rsidR="00E1138E" w:rsidRDefault="00E1138E" w:rsidP="00E1138E">
      <w:pPr>
        <w:ind w:left="1985" w:hanging="567"/>
      </w:pPr>
      <w:r>
        <w:t>[   ]</w:t>
      </w:r>
      <w:r>
        <w:tab/>
        <w:t>mit Plausibilitätsbeurteilung (analytische Prüfungshandlungen mit Plausibilitätsbeurteilung der vorgelegten Bücher und  des vorgelegten Inventars; eine Prüfung der Wertansätze und eine Untersuchungen zur Aufdeckung von evtl. Unregelmäßigkeiten sowie eine insolvenzrechtliche Überschuldungsprüfung, ist nicht Gegenstand des Auftrages)</w:t>
      </w:r>
    </w:p>
    <w:p w:rsidR="00E1138E" w:rsidRDefault="00E1138E" w:rsidP="00E1138E">
      <w:pPr>
        <w:ind w:left="1985" w:hanging="567"/>
      </w:pPr>
    </w:p>
    <w:p w:rsidR="00E1138E" w:rsidRDefault="00E1138E" w:rsidP="00E1138E">
      <w:pPr>
        <w:ind w:left="1985" w:hanging="567"/>
      </w:pPr>
      <w:r>
        <w:t>[   ]</w:t>
      </w:r>
      <w:r>
        <w:tab/>
        <w:t>mit Plausibilitätsbeurteilung - Buchhaltung erstellt Kanzlei (analytische Prüfungshandlungen mit Plausibilitätsbeurteilung der vorgelegten Teile des Inventars und der erteilten Auskünfte –eine Prüfung der Wertansätze und eine Untersuchung zur Aufdeckung von evtl. Unregelmäßigkeiten sowie eine insolvenzrechtliche Überschuldungsprüfung, ist nicht Gegenstand des Auftrages)</w:t>
      </w:r>
    </w:p>
    <w:p w:rsidR="00E1138E" w:rsidRDefault="00E1138E" w:rsidP="00E1138E">
      <w:pPr>
        <w:ind w:left="1985" w:hanging="567"/>
      </w:pPr>
    </w:p>
    <w:p w:rsidR="00E1138E" w:rsidRDefault="00E1138E" w:rsidP="00E1138E">
      <w:pPr>
        <w:pStyle w:val="Textkrper-Einzug2"/>
        <w:ind w:left="567" w:hanging="567"/>
        <w:rPr>
          <w:sz w:val="20"/>
        </w:rPr>
      </w:pPr>
      <w:r>
        <w:rPr>
          <w:sz w:val="20"/>
        </w:rPr>
        <w:lastRenderedPageBreak/>
        <w:t xml:space="preserve">[   ]     des Jahresabschlusses nach Steuerrecht (ggf. abweichende Steuerbilanz zur Handelsbilanz) mit den dazugehörigen Steuererklärungen </w:t>
      </w:r>
    </w:p>
    <w:p w:rsidR="00E1138E" w:rsidRDefault="00E1138E" w:rsidP="00E1138E">
      <w:pPr>
        <w:pStyle w:val="Textkrper-Einzug2"/>
        <w:ind w:left="567" w:hanging="567"/>
        <w:rPr>
          <w:sz w:val="20"/>
        </w:rPr>
      </w:pPr>
    </w:p>
    <w:p w:rsidR="00E1138E" w:rsidRDefault="00E1138E" w:rsidP="00E1138E">
      <w:pPr>
        <w:pStyle w:val="Textkrper-Einzug2"/>
        <w:ind w:left="567" w:hanging="567"/>
        <w:rPr>
          <w:sz w:val="20"/>
        </w:rPr>
      </w:pPr>
    </w:p>
    <w:p w:rsidR="00E1138E" w:rsidRDefault="00E1138E" w:rsidP="00E1138E">
      <w:pPr>
        <w:pStyle w:val="Textkrper-Einzug2"/>
        <w:ind w:left="567" w:hanging="567"/>
        <w:rPr>
          <w:sz w:val="20"/>
        </w:rPr>
      </w:pPr>
      <w:r>
        <w:rPr>
          <w:sz w:val="20"/>
        </w:rPr>
        <w:t xml:space="preserve">[   ]     Entwicklung der E-Bilanz aus der Handelsbilanz oder Steuerbilanz mit elektronischer Übermittlung an die Finanzverwaltung (§ 35 Abs. 1 Nr. 3b </w:t>
      </w:r>
      <w:proofErr w:type="spellStart"/>
      <w:r>
        <w:rPr>
          <w:sz w:val="20"/>
        </w:rPr>
        <w:t>StBVV</w:t>
      </w:r>
      <w:proofErr w:type="spellEnd"/>
      <w:r>
        <w:rPr>
          <w:sz w:val="20"/>
        </w:rPr>
        <w:t>)</w:t>
      </w:r>
    </w:p>
    <w:p w:rsidR="00E1138E" w:rsidRDefault="00E1138E" w:rsidP="00E1138E">
      <w:pPr>
        <w:pStyle w:val="Textkrper-Einzug2"/>
        <w:ind w:left="567" w:hanging="567"/>
        <w:rPr>
          <w:sz w:val="20"/>
        </w:rPr>
      </w:pPr>
    </w:p>
    <w:p w:rsidR="00E1138E" w:rsidRDefault="00E1138E" w:rsidP="00E1138E">
      <w:pPr>
        <w:pStyle w:val="Textkrper-Einzug2"/>
        <w:ind w:left="708" w:hanging="708"/>
        <w:rPr>
          <w:sz w:val="20"/>
        </w:rPr>
      </w:pPr>
      <w:r>
        <w:rPr>
          <w:sz w:val="20"/>
        </w:rPr>
        <w:t>[   ]     Prüfung der Steuerbescheide</w:t>
      </w:r>
    </w:p>
    <w:p w:rsidR="00E1138E" w:rsidRDefault="00E1138E" w:rsidP="00E1138E">
      <w:pPr>
        <w:pStyle w:val="Textkrper-Einzug2"/>
        <w:ind w:left="708" w:hanging="708"/>
        <w:rPr>
          <w:sz w:val="20"/>
        </w:rPr>
      </w:pPr>
    </w:p>
    <w:p w:rsidR="00E1138E" w:rsidRDefault="00E1138E" w:rsidP="00E1138E">
      <w:r>
        <w:t>[   ]     der Eröffnungsbilanz</w:t>
      </w:r>
    </w:p>
    <w:p w:rsidR="00E1138E" w:rsidRDefault="00E1138E" w:rsidP="00E1138E"/>
    <w:p w:rsidR="00E1138E" w:rsidRDefault="00E1138E" w:rsidP="00E1138E">
      <w:r>
        <w:t>[   ]     der Offenlegungsbilanz gem. § 325 Abs. 1 HGB</w:t>
      </w:r>
    </w:p>
    <w:p w:rsidR="00E1138E" w:rsidRDefault="00E1138E" w:rsidP="00E1138E"/>
    <w:p w:rsidR="00E1138E" w:rsidRDefault="00E1138E" w:rsidP="00E1138E">
      <w:r>
        <w:t>[   ]     der Einnahmen- und Überschussrechnung mit den dazugehörigen Steuererklärungen</w:t>
      </w:r>
    </w:p>
    <w:p w:rsidR="00E1138E" w:rsidRDefault="00E1138E" w:rsidP="00E1138E"/>
    <w:p w:rsidR="00E1138E" w:rsidRDefault="00E1138E" w:rsidP="00E1138E">
      <w:r>
        <w:t>[   ]     der Einkommensteuererklärung nebst Anlagen</w:t>
      </w:r>
    </w:p>
    <w:p w:rsidR="00E1138E" w:rsidRDefault="00E1138E" w:rsidP="00E1138E"/>
    <w:p w:rsidR="00E1138E" w:rsidRDefault="00E1138E" w:rsidP="00E1138E">
      <w:pPr>
        <w:ind w:left="708" w:hanging="708"/>
      </w:pPr>
      <w:r>
        <w:t>[   ]     der Vermögens- und Schuldenaufstellung zur Einreichung beim Kreditinstitut / Selbstauskunft</w:t>
      </w:r>
    </w:p>
    <w:p w:rsidR="00E1138E" w:rsidRDefault="00E1138E" w:rsidP="00E1138E">
      <w:pPr>
        <w:ind w:left="708" w:hanging="708"/>
      </w:pPr>
    </w:p>
    <w:p w:rsidR="00E1138E" w:rsidRDefault="00E1138E" w:rsidP="00E1138E">
      <w:pPr>
        <w:ind w:left="708" w:hanging="708"/>
      </w:pPr>
      <w:r>
        <w:t>[   ]     einer Überschuldungsprüfung</w:t>
      </w:r>
    </w:p>
    <w:p w:rsidR="00E1138E" w:rsidRDefault="00E1138E" w:rsidP="00E1138E">
      <w:pPr>
        <w:ind w:left="708" w:hanging="708"/>
      </w:pPr>
    </w:p>
    <w:p w:rsidR="00E1138E" w:rsidRDefault="00E1138E" w:rsidP="00E1138E">
      <w:pPr>
        <w:ind w:left="708" w:hanging="708"/>
      </w:pPr>
      <w:r>
        <w:t xml:space="preserve">[   ]     Steuervorausplanung (Einkommensteuer-Kirchensteuer-Gewerbesteuer) </w:t>
      </w:r>
    </w:p>
    <w:p w:rsidR="00E1138E" w:rsidRDefault="00E1138E" w:rsidP="00E1138E">
      <w:pPr>
        <w:ind w:left="708" w:hanging="708"/>
      </w:pPr>
    </w:p>
    <w:p w:rsidR="00E1138E" w:rsidRDefault="00E1138E" w:rsidP="00E1138E">
      <w:r>
        <w:t xml:space="preserve">[   ]     Steuervorausplanung für das Folgejahr (Einkommensteuer-Kirchensteuer-Gewerbesteuer) </w:t>
      </w:r>
    </w:p>
    <w:p w:rsidR="00E1138E" w:rsidRDefault="00E1138E" w:rsidP="00E1138E"/>
    <w:p w:rsidR="00E1138E" w:rsidRDefault="00E1138E" w:rsidP="00E1138E">
      <w:pPr>
        <w:ind w:left="708" w:hanging="708"/>
      </w:pPr>
      <w:r>
        <w:t xml:space="preserve">[   ]     Steuervorausplanung (Körperschaftsteuer, Gewerbesteuer) </w:t>
      </w:r>
    </w:p>
    <w:p w:rsidR="00E1138E" w:rsidRDefault="00E1138E" w:rsidP="00E1138E">
      <w:pPr>
        <w:ind w:left="708" w:hanging="708"/>
      </w:pPr>
    </w:p>
    <w:p w:rsidR="00E1138E" w:rsidRDefault="00E1138E" w:rsidP="00E1138E">
      <w:pPr>
        <w:rPr>
          <w:color w:val="FF0000"/>
        </w:rPr>
      </w:pPr>
      <w:r>
        <w:t>[   ]     Steuervorausplanung für das Folgejahr (Körperschaftsteuer, Gewerbesteuer)</w:t>
      </w:r>
      <w:r>
        <w:rPr>
          <w:color w:val="FF0000"/>
        </w:rPr>
        <w:t xml:space="preserve"> </w:t>
      </w:r>
    </w:p>
    <w:p w:rsidR="00E1138E" w:rsidRDefault="00E1138E" w:rsidP="00E1138E">
      <w:pPr>
        <w:pStyle w:val="berschrift3"/>
        <w:rPr>
          <w:sz w:val="20"/>
        </w:rPr>
      </w:pPr>
      <w:r>
        <w:rPr>
          <w:sz w:val="20"/>
        </w:rPr>
        <w:t xml:space="preserve">         </w:t>
      </w:r>
    </w:p>
    <w:p w:rsidR="00E1138E" w:rsidRDefault="00E1138E" w:rsidP="00E1138E">
      <w:pPr>
        <w:pStyle w:val="berschrift3"/>
        <w:rPr>
          <w:sz w:val="20"/>
        </w:rPr>
      </w:pPr>
    </w:p>
    <w:p w:rsidR="00E1138E" w:rsidRDefault="00E1138E" w:rsidP="00E1138E">
      <w:pPr>
        <w:pStyle w:val="berschrift3"/>
        <w:rPr>
          <w:sz w:val="20"/>
        </w:rPr>
      </w:pPr>
      <w:r>
        <w:rPr>
          <w:sz w:val="20"/>
        </w:rPr>
        <w:t>Sonstige Beratungen, Auskünfte auf Anforderung</w:t>
      </w:r>
    </w:p>
    <w:p w:rsidR="00E1138E" w:rsidRDefault="00E1138E" w:rsidP="00E1138E"/>
    <w:p w:rsidR="00E1138E" w:rsidRDefault="00E1138E" w:rsidP="00E1138E">
      <w:pPr>
        <w:pStyle w:val="berschrift3"/>
        <w:rPr>
          <w:sz w:val="20"/>
        </w:rPr>
      </w:pPr>
    </w:p>
    <w:p w:rsidR="00E1138E" w:rsidRDefault="00E1138E" w:rsidP="00E1138E">
      <w:pPr>
        <w:pStyle w:val="berschrift3"/>
        <w:rPr>
          <w:sz w:val="20"/>
        </w:rPr>
      </w:pPr>
      <w:r>
        <w:rPr>
          <w:sz w:val="20"/>
        </w:rPr>
        <w:t>Wie viele Ausfertigungen des Jahresabschlusses benötigen Sie?</w:t>
      </w:r>
      <w:r>
        <w:rPr>
          <w:sz w:val="20"/>
        </w:rPr>
        <w:tab/>
        <w:t xml:space="preserve">            ______   Stück</w:t>
      </w:r>
    </w:p>
    <w:p w:rsidR="00E1138E" w:rsidRDefault="00E1138E" w:rsidP="00E1138E">
      <w:r>
        <w:t>Möchten Sie den Jahresabschluss als PDF-Datei erhalten?</w:t>
      </w:r>
      <w:r>
        <w:tab/>
        <w:t xml:space="preserve">     [   ] ja</w:t>
      </w:r>
      <w:r>
        <w:tab/>
        <w:t xml:space="preserve">           [   ] nein</w:t>
      </w:r>
    </w:p>
    <w:p w:rsidR="00E1138E" w:rsidRDefault="00E1138E" w:rsidP="00E1138E"/>
    <w:p w:rsidR="00E1138E" w:rsidRDefault="00E1138E" w:rsidP="00E1138E"/>
    <w:p w:rsidR="00E1138E" w:rsidRDefault="00E1138E" w:rsidP="00E1138E">
      <w:r>
        <w:t>Dem erteilten Auftrag liegen die Allgemeinen Auftragsbedingungen für Steuerberater, Stand November 2016,                   zu Grunde mit deren Geltung ich einverstanden bin. Eine Ausfertigung der AAB habe ich erhalten.</w:t>
      </w:r>
    </w:p>
    <w:p w:rsidR="00E1138E" w:rsidRDefault="00E1138E" w:rsidP="00E1138E"/>
    <w:p w:rsidR="00E1138E" w:rsidRDefault="00E1138E" w:rsidP="00E1138E"/>
    <w:p w:rsidR="00E1138E" w:rsidRDefault="00E1138E" w:rsidP="00E1138E"/>
    <w:p w:rsidR="00E1138E" w:rsidRDefault="00E1138E" w:rsidP="00E1138E"/>
    <w:p w:rsidR="00E1138E" w:rsidRDefault="00E1138E" w:rsidP="00E1138E"/>
    <w:p w:rsidR="00E1138E" w:rsidRDefault="00E1138E" w:rsidP="00E1138E"/>
    <w:p w:rsidR="00E1138E" w:rsidRDefault="00E1138E" w:rsidP="00E1138E">
      <w:r>
        <w:t>____________________________                       ________________________________</w:t>
      </w:r>
    </w:p>
    <w:p w:rsidR="00E1138E" w:rsidRDefault="00E1138E" w:rsidP="00E1138E">
      <w:r>
        <w:t>Ort,   Datum                                                             Unterschrift</w:t>
      </w:r>
    </w:p>
    <w:p w:rsidR="00E1138E" w:rsidRDefault="00E1138E" w:rsidP="00E1138E">
      <w:pPr>
        <w:pStyle w:val="berschrift1"/>
        <w:jc w:val="center"/>
        <w:rPr>
          <w:b w:val="0"/>
          <w:bCs/>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lastRenderedPageBreak/>
        <w:br/>
      </w:r>
      <w:r>
        <w:rPr>
          <w:rFonts w:ascii="Times New Roman" w:hAnsi="Times New Roman"/>
        </w:rPr>
        <w:br/>
      </w:r>
      <w:r>
        <w:rPr>
          <w:rFonts w:ascii="Times New Roman" w:hAnsi="Times New Roman"/>
        </w:rPr>
        <w:br/>
      </w:r>
      <w:r>
        <w:rPr>
          <w:b w:val="0"/>
          <w:bCs/>
        </w:rPr>
        <w:t>Allgemeine Geschäftsbedingungen</w:t>
      </w:r>
    </w:p>
    <w:p w:rsidR="00E1138E" w:rsidRDefault="00E1138E" w:rsidP="00E1138E">
      <w:pPr>
        <w:spacing w:line="302" w:lineRule="exact"/>
        <w:jc w:val="center"/>
        <w:rPr>
          <w:b/>
          <w:bCs/>
        </w:rPr>
      </w:pPr>
      <w:r>
        <w:rPr>
          <w:b/>
          <w:bCs/>
        </w:rPr>
        <w:t>für Steuerberater, Steuerbevollmächtigte und Steuerberatungsgesellschaften</w:t>
      </w:r>
    </w:p>
    <w:p w:rsidR="00E1138E" w:rsidRDefault="00E1138E" w:rsidP="00E1138E">
      <w:pPr>
        <w:spacing w:before="153" w:line="182" w:lineRule="exact"/>
        <w:jc w:val="center"/>
        <w:rPr>
          <w:sz w:val="16"/>
          <w:szCs w:val="16"/>
        </w:rPr>
      </w:pPr>
      <w:r>
        <w:rPr>
          <w:sz w:val="16"/>
          <w:szCs w:val="16"/>
        </w:rPr>
        <w:t>Stand: November 2016</w:t>
      </w:r>
    </w:p>
    <w:p w:rsidR="00E1138E" w:rsidRDefault="00E1138E" w:rsidP="00E1138E">
      <w:pPr>
        <w:pStyle w:val="Textkrper-Zeileneinzug"/>
        <w:ind w:right="0"/>
      </w:pPr>
      <w:r>
        <w:t xml:space="preserve">Die folgenden "Allgemeinen Geschäftsbedingungen" gelten für Verträge zwischen Steuerberatern, Steuerbevollmächtigten und Steuerberatungsgesellschaften (im Folgenden "Steuerberater" genannt) und ihren Auftraggebern, soweit nicht etwas anderes ausdrücklich in Textform vereinbart oder gesetzlich zwingend vorgeschrieben ist. </w:t>
      </w:r>
    </w:p>
    <w:p w:rsidR="00E1138E" w:rsidRDefault="00E1138E" w:rsidP="00E1138E">
      <w:pPr>
        <w:spacing w:before="153" w:line="182" w:lineRule="exact"/>
        <w:rPr>
          <w:b/>
          <w:bCs/>
          <w:sz w:val="16"/>
          <w:szCs w:val="16"/>
        </w:rPr>
      </w:pPr>
      <w:r>
        <w:rPr>
          <w:b/>
          <w:bCs/>
          <w:sz w:val="16"/>
          <w:szCs w:val="16"/>
        </w:rPr>
        <w:t xml:space="preserve">1. Umfang und Ausführung des Auftrags </w:t>
      </w:r>
    </w:p>
    <w:p w:rsidR="00E1138E" w:rsidRDefault="00E1138E" w:rsidP="00E1138E">
      <w:pPr>
        <w:numPr>
          <w:ilvl w:val="0"/>
          <w:numId w:val="1"/>
        </w:numPr>
        <w:spacing w:before="86" w:line="168" w:lineRule="exact"/>
        <w:jc w:val="both"/>
        <w:rPr>
          <w:sz w:val="16"/>
          <w:szCs w:val="16"/>
        </w:rPr>
      </w:pPr>
      <w:r>
        <w:rPr>
          <w:sz w:val="16"/>
          <w:szCs w:val="16"/>
        </w:rPr>
        <w:t xml:space="preserve">Für den Umfang der vom Steuerberater zu erbringenden Leistungen ist der erteilte Auftrag maßgebend. Der Auftrag wird nach den Grundsätzen ordnungsgemäßer Berufsausübung unter Beachtung der einschlägigen berufsrechtlichen Normen und der Berufspflichten (vgl. StBerG, </w:t>
      </w:r>
      <w:proofErr w:type="spellStart"/>
      <w:r>
        <w:rPr>
          <w:sz w:val="16"/>
          <w:szCs w:val="16"/>
        </w:rPr>
        <w:t>BOStB</w:t>
      </w:r>
      <w:proofErr w:type="spellEnd"/>
      <w:r>
        <w:rPr>
          <w:sz w:val="16"/>
          <w:szCs w:val="16"/>
        </w:rPr>
        <w:t>) ausgeführt.</w:t>
      </w:r>
    </w:p>
    <w:p w:rsidR="00E1138E" w:rsidRDefault="00E1138E" w:rsidP="00E1138E">
      <w:pPr>
        <w:numPr>
          <w:ilvl w:val="0"/>
          <w:numId w:val="1"/>
        </w:numPr>
        <w:spacing w:before="86" w:line="168" w:lineRule="exact"/>
        <w:jc w:val="both"/>
        <w:rPr>
          <w:sz w:val="16"/>
          <w:szCs w:val="16"/>
        </w:rPr>
      </w:pPr>
      <w:r>
        <w:rPr>
          <w:sz w:val="16"/>
          <w:szCs w:val="16"/>
        </w:rPr>
        <w:t>Die Berücksichtigung ausländischen Rechts bedarf einer ausdrücklichen Vereinbarung in Textform.</w:t>
      </w:r>
    </w:p>
    <w:p w:rsidR="00E1138E" w:rsidRDefault="00E1138E" w:rsidP="00E1138E">
      <w:pPr>
        <w:numPr>
          <w:ilvl w:val="0"/>
          <w:numId w:val="1"/>
        </w:numPr>
        <w:spacing w:before="86" w:line="168" w:lineRule="exact"/>
        <w:jc w:val="both"/>
        <w:rPr>
          <w:sz w:val="16"/>
          <w:szCs w:val="16"/>
        </w:rPr>
      </w:pPr>
      <w:r>
        <w:rPr>
          <w:sz w:val="16"/>
          <w:szCs w:val="16"/>
        </w:rPr>
        <w:t>Ändert sich die Rechtslage nach abschließender Erledigung einer Angelegenheit, so ist der Steuerberater nicht verpflichtet, den Auftraggeber auf die Änderung oder die sich daraus ergebenden Folgen hinzuweisen.</w:t>
      </w:r>
    </w:p>
    <w:p w:rsidR="00E1138E" w:rsidRDefault="00E1138E" w:rsidP="00E1138E">
      <w:pPr>
        <w:numPr>
          <w:ilvl w:val="0"/>
          <w:numId w:val="1"/>
        </w:numPr>
        <w:spacing w:before="86" w:line="168" w:lineRule="exact"/>
        <w:jc w:val="both"/>
        <w:rPr>
          <w:sz w:val="16"/>
          <w:szCs w:val="16"/>
        </w:rPr>
      </w:pPr>
      <w:r>
        <w:rPr>
          <w:sz w:val="16"/>
          <w:szCs w:val="16"/>
        </w:rPr>
        <w:t xml:space="preserve">Die Prüfung der Richtigkeit, Vollständigkeit und Ordnungsmäßigkeit der dem Steuerberater übergebenen Unterlagen und Zahlen, insbesondere der Buchführung und Bilanz, gehört nur zum Auftrag, wenn dies in Textform vereinbart ist. Der Steuerberater wird die vom Auftraggeber gemachten Angaben, insbesondere Zahlenangaben, als richtig zu Grunde legen. Soweit er offensichtliche Unrichtigkeiten feststellt, ist er verpflichtet, darauf hinzuweisen. </w:t>
      </w:r>
    </w:p>
    <w:p w:rsidR="00E1138E" w:rsidRDefault="00E1138E" w:rsidP="00E1138E">
      <w:pPr>
        <w:numPr>
          <w:ilvl w:val="0"/>
          <w:numId w:val="1"/>
        </w:numPr>
        <w:spacing w:before="72" w:line="168" w:lineRule="exact"/>
        <w:jc w:val="both"/>
        <w:rPr>
          <w:sz w:val="16"/>
          <w:szCs w:val="16"/>
        </w:rPr>
      </w:pPr>
      <w:r>
        <w:rPr>
          <w:sz w:val="16"/>
          <w:szCs w:val="16"/>
        </w:rPr>
        <w:t>Der Auftrag stellt keine Vollmacht für die Vertretung vor Behörden, Gerichten und sonstigen Stellen dar. Sie ist gesondert zu erteilen. Ist wegen der Abwesenheit des Auftraggebers eine Abstimmung mit diesem über die Einlegung von Rechtsbehelfen oder Rechtsmitteln nicht möglich, ist der Steuerberater im Zweifel zu fristwahrenden Handlungen berechtigt und verpflichtet.</w:t>
      </w:r>
    </w:p>
    <w:p w:rsidR="00E1138E" w:rsidRDefault="00E1138E" w:rsidP="00E1138E">
      <w:pPr>
        <w:spacing w:before="96" w:line="163" w:lineRule="exact"/>
        <w:jc w:val="both"/>
        <w:rPr>
          <w:b/>
          <w:bCs/>
          <w:sz w:val="16"/>
          <w:szCs w:val="16"/>
        </w:rPr>
      </w:pPr>
      <w:r>
        <w:rPr>
          <w:b/>
          <w:bCs/>
          <w:sz w:val="16"/>
          <w:szCs w:val="16"/>
        </w:rPr>
        <w:t xml:space="preserve">2. Verschwiegenheitspflicht </w:t>
      </w:r>
    </w:p>
    <w:p w:rsidR="00E1138E" w:rsidRDefault="00E1138E" w:rsidP="00E1138E">
      <w:pPr>
        <w:numPr>
          <w:ilvl w:val="0"/>
          <w:numId w:val="2"/>
        </w:numPr>
        <w:tabs>
          <w:tab w:val="num" w:pos="540"/>
        </w:tabs>
        <w:spacing w:before="105" w:line="177" w:lineRule="exact"/>
        <w:jc w:val="both"/>
        <w:rPr>
          <w:sz w:val="16"/>
          <w:szCs w:val="16"/>
        </w:rPr>
      </w:pPr>
      <w:r>
        <w:rPr>
          <w:sz w:val="16"/>
          <w:szCs w:val="16"/>
        </w:rPr>
        <w:t>Der Steuerberater ist nach Maßgabe der Gesetze verpflichtet, über alle Tatsachen, die ihm im Zusammenhang mit der Ausführung des Auftrags zur Kenntnis gelangen, Stillschweigen zu bewahren, es sei denn, der Auftraggeber entbindet ihn von dieser Verpflichtung. Die Verschwiegenheitspflicht besteht auch nach Beendigung des Vertragsverhältnisses fort. Die Verschwiegenheitspflicht besteht im gleichen Umfang auch für die Mitarbeiter des Steuerberaters.</w:t>
      </w:r>
    </w:p>
    <w:p w:rsidR="00E1138E" w:rsidRDefault="00E1138E" w:rsidP="00E1138E">
      <w:pPr>
        <w:numPr>
          <w:ilvl w:val="0"/>
          <w:numId w:val="2"/>
        </w:numPr>
        <w:tabs>
          <w:tab w:val="num" w:pos="540"/>
        </w:tabs>
        <w:spacing w:before="105" w:line="177" w:lineRule="exact"/>
        <w:jc w:val="both"/>
        <w:rPr>
          <w:sz w:val="16"/>
          <w:szCs w:val="16"/>
        </w:rPr>
      </w:pPr>
      <w:r>
        <w:rPr>
          <w:sz w:val="16"/>
        </w:rPr>
        <w:t>Die Verschwiegenheitspflicht besteht nicht, soweit die Offenlegung zur Wahrung berechtigter Interessen des Steuerberaters erforderlich ist. Der Steuerberater ist auch insoweit von der Verschwiegenheitspflicht entbunden, als er nach den Versicherungsbedingungen seiner Berufshaftpflichtversicherung zur Information und Mitwirkung verpflichtet ist.</w:t>
      </w:r>
    </w:p>
    <w:p w:rsidR="00E1138E" w:rsidRDefault="00E1138E" w:rsidP="00E1138E">
      <w:pPr>
        <w:numPr>
          <w:ilvl w:val="0"/>
          <w:numId w:val="2"/>
        </w:numPr>
        <w:tabs>
          <w:tab w:val="num" w:pos="540"/>
        </w:tabs>
        <w:spacing w:before="105" w:line="177" w:lineRule="exact"/>
        <w:jc w:val="both"/>
        <w:rPr>
          <w:sz w:val="16"/>
          <w:szCs w:val="16"/>
        </w:rPr>
      </w:pPr>
      <w:r>
        <w:rPr>
          <w:sz w:val="16"/>
        </w:rPr>
        <w:t>Gesetzliche Auskunfts- und Aussageverweigerungsrechte nach § 102 AO, § 53 StPO, § 383 ZPO bleiben unberührt.</w:t>
      </w:r>
    </w:p>
    <w:p w:rsidR="00E1138E" w:rsidRDefault="00E1138E" w:rsidP="00E1138E">
      <w:pPr>
        <w:numPr>
          <w:ilvl w:val="0"/>
          <w:numId w:val="2"/>
        </w:numPr>
        <w:tabs>
          <w:tab w:val="num" w:pos="540"/>
        </w:tabs>
        <w:spacing w:before="105" w:line="177" w:lineRule="exact"/>
        <w:jc w:val="both"/>
        <w:rPr>
          <w:sz w:val="16"/>
          <w:szCs w:val="16"/>
        </w:rPr>
      </w:pPr>
      <w:r>
        <w:rPr>
          <w:sz w:val="16"/>
          <w:szCs w:val="16"/>
        </w:rPr>
        <w:t xml:space="preserve">Der Steuerberater ist von der Verschwiegenheitspflicht entbunden, soweit dies zur Durchführung eines Zertifizierungsaudits in der Kanzlei des Steuerberaters erforderlich ist und die insoweit tätigen Personen ihrerseits über ihre Verschwiegenheitspflicht belehrt worden sind. Der Auftraggeber erklärt sich damit einverstanden, dass durch den Zertifizierter/Auditor Einsicht in seine – vom Steuerberater angelegte und geführte – Handakte genommen wird. </w:t>
      </w:r>
    </w:p>
    <w:p w:rsidR="00E1138E" w:rsidRDefault="00E1138E" w:rsidP="00E1138E">
      <w:pPr>
        <w:spacing w:before="120" w:line="172" w:lineRule="exact"/>
        <w:jc w:val="both"/>
        <w:rPr>
          <w:b/>
          <w:bCs/>
          <w:sz w:val="16"/>
          <w:szCs w:val="16"/>
        </w:rPr>
      </w:pPr>
      <w:r>
        <w:rPr>
          <w:b/>
          <w:bCs/>
          <w:sz w:val="16"/>
          <w:szCs w:val="16"/>
        </w:rPr>
        <w:t xml:space="preserve">3. Mitwirkung Dritter </w:t>
      </w:r>
    </w:p>
    <w:p w:rsidR="00E1138E" w:rsidRDefault="00E1138E" w:rsidP="00E1138E">
      <w:pPr>
        <w:pStyle w:val="Textkrper-Zeileneinzug"/>
        <w:ind w:left="360" w:right="0"/>
      </w:pPr>
      <w:r>
        <w:t xml:space="preserve">Der Steuerberater ist berechtigt, zur Ausführung des Auftrags Mitarbeiter, fachkundige Dritte sowie Daten verarbeitende Unternehmen heranzuziehen. Bei der Heranziehung von fachkundigen Dritten und datenverarbeitender Unternehmen hat der Steuerberater dafür zu sorgen, dass diese sich zur Verschwiegenheit entsprechend Ziff.. 2 Abs. 1 verpflichten. Der Steuerberater haftet unter keinen Umständen für die Leistungen der Herangezogenen; bei den Herangezogenen handelt es sich haftungsrechtlich nicht um Erfüllungshilfen des Steuerberaters. Hat der Steuerberater die Beziehung eines von ihm namentlich bekannten Dritten angeregt, so haftet der lediglich für eine ordnungsgemäße Auswahl des Herangezogenen. </w:t>
      </w:r>
    </w:p>
    <w:p w:rsidR="00E1138E" w:rsidRPr="00710DB0" w:rsidRDefault="00E1138E" w:rsidP="00E1138E">
      <w:pPr>
        <w:spacing w:before="120"/>
        <w:jc w:val="both"/>
        <w:rPr>
          <w:b/>
          <w:sz w:val="16"/>
          <w:szCs w:val="16"/>
        </w:rPr>
      </w:pPr>
      <w:r w:rsidRPr="00710DB0">
        <w:rPr>
          <w:b/>
          <w:sz w:val="16"/>
          <w:szCs w:val="16"/>
        </w:rPr>
        <w:t>3a. Elektronische Kommunikation, Datenschutz</w:t>
      </w:r>
    </w:p>
    <w:p w:rsidR="00E1138E" w:rsidRDefault="00E1138E" w:rsidP="00E1138E">
      <w:pPr>
        <w:pStyle w:val="Textkrper-Zeileneinzug"/>
        <w:numPr>
          <w:ilvl w:val="0"/>
          <w:numId w:val="9"/>
        </w:numPr>
        <w:ind w:right="0"/>
        <w:jc w:val="left"/>
      </w:pPr>
      <w:r>
        <w:t>Der Steuerberater ist berechtigt, personenbezogene Daten des Auftraggebers und von dessen Mitarbeiterin, im Rahmen der erteilten Aufträge maschinell zu erheben und in einer automatisierten Datei zu verarbeiten oder einem Dienstleistungsrechenzentrum zur weiteren Auftragsdatenverarbeitung zu übertragen.</w:t>
      </w:r>
    </w:p>
    <w:p w:rsidR="00E1138E" w:rsidRDefault="00E1138E" w:rsidP="00E1138E">
      <w:pPr>
        <w:pStyle w:val="Textkrper-Zeileneinzug"/>
        <w:numPr>
          <w:ilvl w:val="0"/>
          <w:numId w:val="9"/>
        </w:numPr>
        <w:ind w:right="0"/>
        <w:jc w:val="left"/>
      </w:pPr>
      <w:r>
        <w:t>Der Steuerberater ist berechtigt, in Erfüllung seiner Pflichten nach dem Bundesdatenschutzgesetz einen Beauftragten für den Datenschutz zu bestellen. Sofern dieser Beauftragte für den Datenschutz nicht bereits nach Ziff. 2 Abs. 1 Satz 3 der Verschwiegenheitspflicht unterliegt, hat der Steuerberater dafür Sorge zu tragen, dass der Beauftragte für den Datenschutz sich mit Aufnahme seiner Tätigkeit zur Wahrnehmung des Datengeheimnisses verpflichtet.</w:t>
      </w:r>
    </w:p>
    <w:p w:rsidR="00E1138E" w:rsidRDefault="00E1138E" w:rsidP="00E1138E">
      <w:pPr>
        <w:pStyle w:val="Textkrper-Zeileneinzug"/>
        <w:numPr>
          <w:ilvl w:val="0"/>
          <w:numId w:val="9"/>
        </w:numPr>
        <w:ind w:right="0"/>
        <w:jc w:val="left"/>
      </w:pPr>
      <w:r>
        <w:t xml:space="preserve">Soweit der Auftraggeber dem Steuerberater einen Telefaxanschluss oder eine E-Mail-Adresse mitteilt, erklärt er bis auf Widerruf oder ausdrücklich anderweitige Weisung damit einverstanden, dass der Steuerberater ihm ohne Einschränkung über jene Kontaktdaten mandatsbezogene Informationen zusendet. Der Auftrag sichert zu, dass nur er oder von ihm beauftragte Personen Zugriff auf das Empfangs-/Sendegerät bzw. den E-Mail-Account haben und dass er dortige Sendungseingänge regelmäßig überprüft. Der Auftraggeber ist verpflichtet, den Steuerberater darauf hinzuweisen, wenn Einschränkungen bestehen, etwa das Empfangs-/Sendegerät bzw. der E-Mail-Account nur unregelmäßig auf Sendungseingänge überprüft wird oder Einsendungen nur nach vorheriger Ankündigung gewünscht werden. Der Steuerberater übernimmt keine Haftung für die Sicherheit der mit unverschlüsselten E-Mails übermittelten Daten und Informationen und haftet auch nicht für die dem Auftraggeber </w:t>
      </w:r>
      <w:proofErr w:type="spellStart"/>
      <w:r>
        <w:t>dieserhalb</w:t>
      </w:r>
      <w:proofErr w:type="spellEnd"/>
      <w:r>
        <w:t xml:space="preserve"> ggf. entstehenden Schäden. Soweit der Auftraggeber zum Einsatz von Signaturverfahren und Verschlüsselungsverfahren die technischen Voraussetzungen besitzt und deren Einsatz wünscht, teilt er dies dem Steuerberater rechtzeitig mit; damit einhergehende Kosten des Steuerberaters (bspw. Zur Anschaffung und Einrichtung notwendiger Soft- bzw. Hardware) trägt der Auftraggeber. </w:t>
      </w:r>
    </w:p>
    <w:p w:rsidR="00E1138E" w:rsidRDefault="00E1138E" w:rsidP="00E1138E">
      <w:pPr>
        <w:spacing w:before="57" w:line="196" w:lineRule="exact"/>
        <w:jc w:val="both"/>
        <w:rPr>
          <w:b/>
          <w:bCs/>
          <w:sz w:val="16"/>
          <w:szCs w:val="16"/>
        </w:rPr>
      </w:pPr>
      <w:r>
        <w:rPr>
          <w:b/>
          <w:bCs/>
          <w:sz w:val="16"/>
          <w:szCs w:val="16"/>
        </w:rPr>
        <w:t xml:space="preserve">4. Mängelbeseitigung </w:t>
      </w:r>
    </w:p>
    <w:p w:rsidR="00E1138E" w:rsidRDefault="00E1138E" w:rsidP="00E1138E">
      <w:pPr>
        <w:numPr>
          <w:ilvl w:val="0"/>
          <w:numId w:val="3"/>
        </w:numPr>
        <w:spacing w:before="76" w:line="196" w:lineRule="exact"/>
        <w:jc w:val="both"/>
        <w:rPr>
          <w:sz w:val="16"/>
          <w:szCs w:val="16"/>
        </w:rPr>
      </w:pPr>
      <w:r>
        <w:rPr>
          <w:sz w:val="16"/>
          <w:szCs w:val="16"/>
        </w:rPr>
        <w:t xml:space="preserve">Der Auftraggeber hat Anspruch auf Beseitigung etwaiger Mängel. Dem Steuerberater ist Gelegenheit zur Nachbesserung zu geben. Der Auftraggeber hat das Recht – wenn und soweit es sich bei dem Mandat um einen Dienstvertrag i. S. d. §§ 611, 675 BGB handelt –, die Nachbesserung durch den Steuerberater abzulehnen, wenn das Mandat durch den Auftraggeber beendet und der Mangel erst nach wirksamer Beendigung des Mandats festgestellt wird. </w:t>
      </w:r>
    </w:p>
    <w:p w:rsidR="00E1138E" w:rsidRDefault="00E1138E" w:rsidP="00E1138E">
      <w:pPr>
        <w:numPr>
          <w:ilvl w:val="0"/>
          <w:numId w:val="3"/>
        </w:numPr>
        <w:spacing w:before="43" w:line="196" w:lineRule="exact"/>
        <w:jc w:val="both"/>
        <w:rPr>
          <w:sz w:val="16"/>
          <w:szCs w:val="16"/>
        </w:rPr>
      </w:pPr>
      <w:r>
        <w:rPr>
          <w:sz w:val="16"/>
          <w:szCs w:val="16"/>
        </w:rPr>
        <w:lastRenderedPageBreak/>
        <w:t xml:space="preserve">Beseitigt der Steuerberater die geltend gemachten Mängel nicht innerhalb einer angemessenen Frist oder lehnt er die Mängelbeseitigung ab, so kann der Auftraggeber auf Kosten des Steuerberaters die Mängel durch einen anderen Steuerberater beseitigen lassen, bzw. nach seiner Wahl Herabsetzung der Vergütung oder Rückgängigmachung des Vertrags verlangen. </w:t>
      </w:r>
    </w:p>
    <w:p w:rsidR="00E1138E" w:rsidRPr="000C4DD8" w:rsidRDefault="00E1138E" w:rsidP="00E1138E">
      <w:pPr>
        <w:numPr>
          <w:ilvl w:val="0"/>
          <w:numId w:val="3"/>
        </w:numPr>
        <w:spacing w:before="67" w:line="196" w:lineRule="exact"/>
        <w:jc w:val="both"/>
        <w:rPr>
          <w:sz w:val="16"/>
          <w:szCs w:val="16"/>
        </w:rPr>
      </w:pPr>
      <w:r>
        <w:rPr>
          <w:sz w:val="16"/>
          <w:szCs w:val="16"/>
        </w:rPr>
        <w:t xml:space="preserve">Offenbare Unrichtigkeiten (z. B. Schreibfehler, Rechenfehler) können vom Steuerberater jederzeit, auch Dritten gegenüber, berichtigt werden. Sonstige Mängel darf der Steuerberater Dritten gegenüber mit Einwilligung des Auftraggebers berichtigen. Die Einwilligung ist nicht erforderlich, wenn berechtigte Interessen des Steuerberaters den Interessen des Auftraggebers vorgehen. </w:t>
      </w:r>
    </w:p>
    <w:p w:rsidR="00E1138E" w:rsidRDefault="00E1138E" w:rsidP="00E1138E">
      <w:pPr>
        <w:spacing w:before="129" w:line="177" w:lineRule="exact"/>
        <w:jc w:val="both"/>
        <w:rPr>
          <w:b/>
          <w:bCs/>
          <w:sz w:val="16"/>
          <w:szCs w:val="16"/>
        </w:rPr>
      </w:pPr>
      <w:r>
        <w:rPr>
          <w:b/>
          <w:bCs/>
          <w:sz w:val="16"/>
          <w:szCs w:val="16"/>
        </w:rPr>
        <w:t xml:space="preserve">5. Haftung </w:t>
      </w:r>
    </w:p>
    <w:p w:rsidR="00E1138E" w:rsidRDefault="00E1138E" w:rsidP="00E1138E">
      <w:pPr>
        <w:numPr>
          <w:ilvl w:val="0"/>
          <w:numId w:val="10"/>
        </w:numPr>
        <w:spacing w:before="52" w:line="177" w:lineRule="exact"/>
        <w:jc w:val="both"/>
        <w:rPr>
          <w:sz w:val="16"/>
          <w:szCs w:val="16"/>
        </w:rPr>
      </w:pPr>
      <w:r>
        <w:rPr>
          <w:sz w:val="16"/>
          <w:szCs w:val="16"/>
        </w:rPr>
        <w:t>Die Haftung des Steuerberaters und seiner Erfüllungshilfen für einen Schaden, der aus einer oder – bei einheitlicher Schadensfolge – aus mehreren Pflichtverletzungen anlässlich der Erfüllung eines Auftrags resultiert, wird auf</w:t>
      </w:r>
    </w:p>
    <w:p w:rsidR="00E1138E" w:rsidRDefault="00E1138E" w:rsidP="00E1138E">
      <w:pPr>
        <w:spacing w:before="52" w:line="177" w:lineRule="exact"/>
        <w:ind w:firstLine="708"/>
        <w:jc w:val="both"/>
        <w:rPr>
          <w:sz w:val="16"/>
          <w:szCs w:val="16"/>
        </w:rPr>
      </w:pPr>
      <w:r>
        <w:rPr>
          <w:sz w:val="16"/>
          <w:szCs w:val="16"/>
        </w:rPr>
        <w:t>1.000.000,00</w:t>
      </w:r>
      <w:r>
        <w:rPr>
          <w:sz w:val="16"/>
          <w:szCs w:val="16"/>
        </w:rPr>
        <w:tab/>
        <w:t xml:space="preserve">€                  (in Worten:                                       eine Million  Euro)                                                begrenzt.                                      </w:t>
      </w:r>
    </w:p>
    <w:p w:rsidR="00E1138E" w:rsidRDefault="00E1138E" w:rsidP="00E1138E">
      <w:pPr>
        <w:spacing w:before="91" w:line="177" w:lineRule="exact"/>
        <w:ind w:left="360"/>
        <w:jc w:val="both"/>
        <w:rPr>
          <w:sz w:val="16"/>
          <w:szCs w:val="16"/>
        </w:rPr>
      </w:pPr>
      <w:r w:rsidRPr="005A0DDD">
        <w:rPr>
          <w:noProof/>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24765</wp:posOffset>
                </wp:positionV>
                <wp:extent cx="2400300" cy="0"/>
                <wp:effectExtent l="5080" t="7620" r="13970" b="1143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675A7"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95pt" to="38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"/>
            </w:pict>
          </mc:Fallback>
        </mc:AlternateContent>
      </w:r>
      <w:r w:rsidRPr="005A0DDD">
        <w:rPr>
          <w:noProof/>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24765</wp:posOffset>
                </wp:positionV>
                <wp:extent cx="1371600" cy="0"/>
                <wp:effectExtent l="5080" t="7620" r="13970" b="114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1B2E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5pt" to="1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"/>
            </w:pict>
          </mc:Fallback>
        </mc:AlternateContent>
      </w:r>
      <w:r>
        <w:rPr>
          <w:sz w:val="16"/>
          <w:szCs w:val="16"/>
        </w:rPr>
        <w:t xml:space="preserve">Die Haftungsbegrenzung bezieht sich allein auf Fahrlässigkeit. Die Haftung für Vorsatz bleibt insoweit unberührt. Von der Haftungsbegrenzung ausgenommen sind Haftungsansprüche für Schäden aus der Verletzung des Lebens, des Körpers oder der Gesundheit. Die Haftungsbegrenzung gilt für die gesamte Tätigkeit des Steuerberaters für den Auftraggeber, also insbesondere auch für eine Ausweitung des Auftragsinhalts; einer erneuten Vereinbarung der Haftungsbegrenzung bedarf es insoweit nicht. Die Haftungsbegrenzung gilt auch bei Bildung einer Sozietät/Partnerschaft und Übernahme des Auftrags durch die Sozietät/Partnerschaft sowie für neu in die Sozietät/Partnerschaft eintretende </w:t>
      </w:r>
      <w:proofErr w:type="spellStart"/>
      <w:r>
        <w:rPr>
          <w:sz w:val="16"/>
          <w:szCs w:val="16"/>
        </w:rPr>
        <w:t>Sozien</w:t>
      </w:r>
      <w:proofErr w:type="spellEnd"/>
      <w:r>
        <w:rPr>
          <w:sz w:val="16"/>
          <w:szCs w:val="16"/>
        </w:rPr>
        <w:t xml:space="preserve">/Partner. Die Haftungsbegrenzung gilt ferner auch gegenüber Dritten, soweit diese in den Schutzbereich des Mandatsverhältnisses fallen; § 334 BGB wird insoweit ausdrücklich nicht abbedungen. Einzelvertragliche Haftungsbegrenzungsvereinbarungen gehen dieser Regelung vor, lassen die Wirksamkeit dieser Regelung jedoch – soweit nicht ausdrücklich anders geregelt – unberührt. </w:t>
      </w:r>
    </w:p>
    <w:p w:rsidR="00E1138E" w:rsidRDefault="00E1138E" w:rsidP="00E1138E">
      <w:pPr>
        <w:numPr>
          <w:ilvl w:val="0"/>
          <w:numId w:val="10"/>
        </w:numPr>
        <w:tabs>
          <w:tab w:val="left" w:pos="284"/>
        </w:tabs>
        <w:spacing w:before="91" w:line="177" w:lineRule="exact"/>
        <w:jc w:val="both"/>
        <w:rPr>
          <w:sz w:val="16"/>
          <w:szCs w:val="16"/>
        </w:rPr>
      </w:pPr>
      <w:r>
        <w:rPr>
          <w:sz w:val="16"/>
          <w:szCs w:val="16"/>
        </w:rPr>
        <w:t xml:space="preserve">Die Haftungsbegrenzung gilt, wenn entsprechend hoher Versicherungsschutz bestanden hat, rückwirkend von Beginn des     Mandatsverhältnisses bzw. dem Zeitpunkt der Höherversicherung an und erstreckt sich, wenn der Auftragsumfang nachträglich geändert oder erweitert wird, auch auf diese Fälle. </w:t>
      </w:r>
    </w:p>
    <w:p w:rsidR="00E1138E" w:rsidRDefault="00E1138E" w:rsidP="00E1138E">
      <w:pPr>
        <w:spacing w:before="100" w:line="168" w:lineRule="exact"/>
        <w:jc w:val="both"/>
        <w:rPr>
          <w:b/>
          <w:bCs/>
          <w:sz w:val="16"/>
          <w:szCs w:val="16"/>
        </w:rPr>
      </w:pPr>
      <w:r>
        <w:rPr>
          <w:b/>
          <w:bCs/>
          <w:sz w:val="16"/>
          <w:szCs w:val="16"/>
        </w:rPr>
        <w:t>6. Pflichten des Auftraggebers; Unterlassene Mitwirkung und Annahmeverzug des Auftraggebers</w:t>
      </w:r>
    </w:p>
    <w:p w:rsidR="00E1138E" w:rsidRDefault="00E1138E" w:rsidP="00E1138E">
      <w:pPr>
        <w:pStyle w:val="Blocktext"/>
        <w:numPr>
          <w:ilvl w:val="0"/>
          <w:numId w:val="4"/>
        </w:numPr>
        <w:spacing w:before="100" w:line="182" w:lineRule="exact"/>
        <w:ind w:right="0"/>
        <w:rPr>
          <w:rFonts w:ascii="Times New Roman" w:hAnsi="Times New Roman" w:cs="Times New Roman"/>
        </w:rPr>
      </w:pPr>
      <w:r>
        <w:rPr>
          <w:rFonts w:ascii="Times New Roman" w:hAnsi="Times New Roman" w:cs="Times New Roman"/>
        </w:rPr>
        <w:t xml:space="preserve">Der Auftraggeber ist zur Mitwirkung verpflichtet, soweit es zur ordnungsgemäßen Erledigung des Auftrags erforderlich ist. Insbesondere hat er dem Steuerberater unaufgefordert alle für die Ausführung des Auftrags notwendigen Unterlagen vollständig und so rechtzeitig zu übergeben, dass dem Steuerberater eine angemessene Bearbeitungszeit zur Verfügung steht. Entsprechendes gilt für die Unterrichtung über alle Vorgänge und Umstände, die für die Ausführung des Auftrags von Bedeutung sein können. Der Mandant ist verpflichtet, alle schriftlichen und mündlichen Mitteilungen des Steuerberaters zur Kenntnis zu nehmen und bei Zweifelsfragen Rücksprache zu halten. </w:t>
      </w:r>
    </w:p>
    <w:p w:rsidR="00E1138E" w:rsidRDefault="00E1138E" w:rsidP="00E1138E">
      <w:pPr>
        <w:pStyle w:val="Blocktext"/>
        <w:numPr>
          <w:ilvl w:val="0"/>
          <w:numId w:val="4"/>
        </w:numPr>
        <w:spacing w:line="182" w:lineRule="exact"/>
        <w:ind w:right="0"/>
        <w:rPr>
          <w:rFonts w:ascii="Times New Roman" w:hAnsi="Times New Roman" w:cs="Times New Roman"/>
        </w:rPr>
      </w:pPr>
      <w:r>
        <w:rPr>
          <w:rFonts w:ascii="Times New Roman" w:hAnsi="Times New Roman" w:cs="Times New Roman"/>
        </w:rPr>
        <w:t>Der Auftraggeber hat alles zu unterlassen, was die Unabhängigkeit des Steuerberaters oder seiner Erfüllungsgehilfen beeinträchtigen könnte.</w:t>
      </w:r>
    </w:p>
    <w:p w:rsidR="00E1138E" w:rsidRDefault="00E1138E" w:rsidP="00E1138E">
      <w:pPr>
        <w:pStyle w:val="Blocktext"/>
        <w:numPr>
          <w:ilvl w:val="0"/>
          <w:numId w:val="4"/>
        </w:numPr>
        <w:spacing w:line="182" w:lineRule="exact"/>
        <w:ind w:right="0"/>
        <w:rPr>
          <w:rFonts w:ascii="Times New Roman" w:hAnsi="Times New Roman" w:cs="Times New Roman"/>
        </w:rPr>
      </w:pPr>
      <w:r>
        <w:rPr>
          <w:rFonts w:ascii="Times New Roman" w:hAnsi="Times New Roman" w:cs="Times New Roman"/>
        </w:rPr>
        <w:t xml:space="preserve">Der Auftraggeber verpflichtet sich, Arbeitsergebnisse des Steuerberaters nur mit dessen schriftlicher Einwilligung weiterzugeben, soweit sich nicht bereits aus dem Auftragsinhalt die Einwilligung zur Weitergabe an einen bestimmten Dritten ergibt. </w:t>
      </w:r>
    </w:p>
    <w:p w:rsidR="00E1138E" w:rsidRDefault="00E1138E" w:rsidP="00E1138E">
      <w:pPr>
        <w:pStyle w:val="Blocktext"/>
        <w:numPr>
          <w:ilvl w:val="0"/>
          <w:numId w:val="4"/>
        </w:numPr>
        <w:spacing w:line="182" w:lineRule="exact"/>
        <w:ind w:right="0"/>
        <w:rPr>
          <w:rFonts w:ascii="Times New Roman" w:hAnsi="Times New Roman" w:cs="Times New Roman"/>
        </w:rPr>
      </w:pPr>
      <w:r>
        <w:rPr>
          <w:rFonts w:ascii="Times New Roman" w:hAnsi="Times New Roman" w:cs="Times New Roman"/>
        </w:rPr>
        <w:t>Setzt der Steuerberater beim Auftraggeber in dessen Räumen Datenverarbeitungsprogramme ein, so ist der Auftraggeber verpflichtet, den Hinweisen des Steuerberaters zur Installation und Anwendung der Programme nachzukommen. Des Weiteren ist der Auftraggeber verpflichtet und berechtigt, die Programme nur in dem vom Steuerberater vorgeschriebenen Umfang zu nutzen, und er ist auch nur in dem Umfang zur Nutzung berechtigt. Der Auftraggeber darf die Programme nicht verbreiten. Der Steuerberater bleibt Inhaber der Nutzungsrechte. Der Auftraggeber hat alles zu unterlassen, was der Ausübung der Nutzungsrechte an den Programmen durch den Steuerberater entgegensteht.</w:t>
      </w:r>
    </w:p>
    <w:p w:rsidR="00E1138E" w:rsidRDefault="00E1138E" w:rsidP="00E1138E">
      <w:pPr>
        <w:numPr>
          <w:ilvl w:val="0"/>
          <w:numId w:val="4"/>
        </w:numPr>
        <w:spacing w:before="177" w:line="182" w:lineRule="exact"/>
        <w:jc w:val="both"/>
        <w:rPr>
          <w:sz w:val="16"/>
          <w:szCs w:val="16"/>
        </w:rPr>
      </w:pPr>
      <w:r>
        <w:rPr>
          <w:sz w:val="16"/>
          <w:szCs w:val="16"/>
        </w:rPr>
        <w:t xml:space="preserve">Unterlässt der Auftraggeber eine ihm nach Ziff. 6 Abs. 1 bis 4 oder anderweitig obliegende Mitwirkung oder kommt er mit der Annahme der vom Steuerberater angebotenen Leistung in Verzug, so ist der Steuerberater berechtigt den Vertrag fristlos zu kündigen (vgl. </w:t>
      </w:r>
      <w:proofErr w:type="spellStart"/>
      <w:r>
        <w:rPr>
          <w:sz w:val="16"/>
          <w:szCs w:val="16"/>
        </w:rPr>
        <w:t>Zigg</w:t>
      </w:r>
      <w:proofErr w:type="spellEnd"/>
      <w:r>
        <w:rPr>
          <w:sz w:val="16"/>
          <w:szCs w:val="16"/>
        </w:rPr>
        <w:t xml:space="preserve">. 9 Abs. 3). Unberührt bleibt der Anspruch des Steuerberaters auf Ersatz der ihm durch den Verzug oder die unterlassene Mitwirkung des Auftraggebers entstandenen Mehraufwendungen sowie des verursachten Schadens, und zwar auch dann, wenn der Steuerberater von dem Kündigungsrecht keinen Gebrauch macht. </w:t>
      </w:r>
    </w:p>
    <w:p w:rsidR="00E1138E" w:rsidRPr="000C4DD8" w:rsidRDefault="00E1138E" w:rsidP="00E1138E">
      <w:pPr>
        <w:spacing w:before="177" w:line="182" w:lineRule="exact"/>
        <w:jc w:val="both"/>
        <w:rPr>
          <w:b/>
          <w:sz w:val="16"/>
          <w:szCs w:val="16"/>
        </w:rPr>
      </w:pPr>
      <w:r w:rsidRPr="000C4DD8">
        <w:rPr>
          <w:b/>
          <w:sz w:val="16"/>
          <w:szCs w:val="16"/>
        </w:rPr>
        <w:t>7. Urheberrechtsschutz</w:t>
      </w:r>
    </w:p>
    <w:p w:rsidR="00E1138E" w:rsidRDefault="00E1138E" w:rsidP="00E1138E">
      <w:pPr>
        <w:spacing w:before="177" w:line="182" w:lineRule="exact"/>
        <w:jc w:val="both"/>
        <w:rPr>
          <w:sz w:val="16"/>
          <w:szCs w:val="16"/>
        </w:rPr>
      </w:pPr>
      <w:r>
        <w:rPr>
          <w:sz w:val="16"/>
          <w:szCs w:val="16"/>
        </w:rPr>
        <w:t>Die Leistungen des Steuerberaters stellen dessen geistiges Eigentum dar. Sie sind urheberrechtlich geschützt. Eine Weitergabe von Arbeitsergebnissen außerhalb der bestimmungsgemäßen Verwendung ist nur mit vorheriger schriftlicher Zustimmung des Auftragnehmers zulässig.</w:t>
      </w:r>
    </w:p>
    <w:p w:rsidR="00E1138E" w:rsidRDefault="00E1138E" w:rsidP="00E1138E">
      <w:pPr>
        <w:spacing w:before="172" w:line="187" w:lineRule="exact"/>
        <w:jc w:val="both"/>
        <w:rPr>
          <w:b/>
          <w:bCs/>
          <w:sz w:val="16"/>
          <w:szCs w:val="16"/>
        </w:rPr>
      </w:pPr>
      <w:r>
        <w:rPr>
          <w:b/>
          <w:bCs/>
          <w:sz w:val="16"/>
          <w:szCs w:val="16"/>
        </w:rPr>
        <w:t>8. Vergütung, Vorschuss mit Aufrechnung</w:t>
      </w:r>
    </w:p>
    <w:p w:rsidR="00E1138E" w:rsidRDefault="00E1138E" w:rsidP="00E1138E">
      <w:pPr>
        <w:numPr>
          <w:ilvl w:val="0"/>
          <w:numId w:val="5"/>
        </w:numPr>
        <w:spacing w:before="57" w:line="192" w:lineRule="exact"/>
        <w:jc w:val="both"/>
        <w:rPr>
          <w:sz w:val="16"/>
          <w:szCs w:val="16"/>
        </w:rPr>
      </w:pPr>
      <w:r>
        <w:rPr>
          <w:sz w:val="16"/>
          <w:szCs w:val="16"/>
        </w:rPr>
        <w:t>Die Vergütung (Gebühren und Auslagenersatz) des Steuerberaters für seine Berufstätigkeit nach § 33 StBerG bemisst sich nach der Steuerberatervergütungsverordnung (</w:t>
      </w:r>
      <w:proofErr w:type="spellStart"/>
      <w:r>
        <w:rPr>
          <w:sz w:val="16"/>
          <w:szCs w:val="16"/>
        </w:rPr>
        <w:t>StBVV</w:t>
      </w:r>
      <w:proofErr w:type="spellEnd"/>
      <w:r>
        <w:rPr>
          <w:sz w:val="16"/>
          <w:szCs w:val="16"/>
        </w:rPr>
        <w:t xml:space="preserve">). Eine höhere oder niedrigere als die gesetzliche Vergütung kann in Textform vereinbart werden. Die Vereinbarung einer niedrigeren Vergütung ist nur in außergerichtlichen Angelegenheiten zulässig. Sie muss in einem angemessenen Verhältnis zu der Leistung, der Verantwortung und dem Haftungsrisiko des Steuerberaters stehen (§4 Abs. 3 </w:t>
      </w:r>
      <w:proofErr w:type="spellStart"/>
      <w:r>
        <w:rPr>
          <w:sz w:val="16"/>
          <w:szCs w:val="16"/>
        </w:rPr>
        <w:t>StBVV</w:t>
      </w:r>
      <w:proofErr w:type="spellEnd"/>
      <w:r>
        <w:rPr>
          <w:sz w:val="16"/>
          <w:szCs w:val="16"/>
        </w:rPr>
        <w:t>).</w:t>
      </w:r>
    </w:p>
    <w:p w:rsidR="00E1138E" w:rsidRDefault="00E1138E" w:rsidP="00E1138E">
      <w:pPr>
        <w:numPr>
          <w:ilvl w:val="0"/>
          <w:numId w:val="5"/>
        </w:numPr>
        <w:spacing w:before="62" w:line="182" w:lineRule="exact"/>
        <w:jc w:val="both"/>
        <w:rPr>
          <w:sz w:val="16"/>
          <w:szCs w:val="16"/>
        </w:rPr>
      </w:pPr>
      <w:r>
        <w:rPr>
          <w:sz w:val="16"/>
          <w:szCs w:val="16"/>
        </w:rPr>
        <w:t xml:space="preserve">Für Tätigkeiten, die in der Vergütungsverordnung keine Regelung erfahren (z. B. § 57 Abs. 3 Nr. 2 und 3 StBerG), gilt die vereinbarte Vergütung, anderenfalls die für diese Tätigkeit vorgesehene Vergütung, ansonsten die übliche Vergütung (§ 612 Abs. 2 und § 632 Abs. 2 BGB). </w:t>
      </w:r>
    </w:p>
    <w:p w:rsidR="00E1138E" w:rsidRDefault="00E1138E" w:rsidP="00E1138E">
      <w:pPr>
        <w:numPr>
          <w:ilvl w:val="0"/>
          <w:numId w:val="5"/>
        </w:numPr>
        <w:spacing w:before="62" w:line="182" w:lineRule="exact"/>
        <w:jc w:val="both"/>
        <w:rPr>
          <w:sz w:val="16"/>
          <w:szCs w:val="16"/>
        </w:rPr>
      </w:pPr>
      <w:r>
        <w:rPr>
          <w:sz w:val="16"/>
          <w:szCs w:val="16"/>
        </w:rPr>
        <w:t>Eine Aufrechnung gegenüber einem Vergütungsanspruch des Steuerberaters ist nur mit unbestrittenen oder rechtskräftig festgestellten Forderungen zulässig.</w:t>
      </w:r>
    </w:p>
    <w:p w:rsidR="00E1138E" w:rsidRDefault="00E1138E" w:rsidP="00E1138E">
      <w:pPr>
        <w:numPr>
          <w:ilvl w:val="0"/>
          <w:numId w:val="5"/>
        </w:numPr>
        <w:spacing w:before="57" w:line="187" w:lineRule="exact"/>
        <w:jc w:val="both"/>
        <w:rPr>
          <w:sz w:val="16"/>
          <w:szCs w:val="16"/>
        </w:rPr>
      </w:pPr>
      <w:r>
        <w:rPr>
          <w:sz w:val="16"/>
          <w:szCs w:val="16"/>
        </w:rPr>
        <w:t>Für bereits entstandene und die voraussichtlich entstehenden Gebühren und Auslagen kann der Steuerberater einen Vorschuss fordern. Wird der eingeforderte Vorschuss nicht gezahlt, kann der Steuerberater nach vorheriger Ankündigung seine weitere Tätigkeit für den Auftraggeber einstellen, bis der Vorschuss eingeht. Der Steuerberater ist verpflichtet, seine Absicht, die Tätigkeit einzustellen, dem Mandanten rechtzeitig bekannt zu geben, wenn dem Auftraggeber Nachteile aus einer Einstellung der Tätigkeit erwachsen können.</w:t>
      </w:r>
    </w:p>
    <w:p w:rsidR="00E1138E" w:rsidRDefault="00E1138E" w:rsidP="00E1138E">
      <w:pPr>
        <w:spacing w:before="153" w:line="196" w:lineRule="exact"/>
        <w:jc w:val="both"/>
        <w:rPr>
          <w:b/>
          <w:bCs/>
          <w:sz w:val="16"/>
          <w:szCs w:val="16"/>
        </w:rPr>
      </w:pPr>
      <w:r>
        <w:rPr>
          <w:b/>
          <w:bCs/>
          <w:sz w:val="16"/>
          <w:szCs w:val="16"/>
        </w:rPr>
        <w:t xml:space="preserve">9. Beendigung des Vertrags </w:t>
      </w:r>
    </w:p>
    <w:p w:rsidR="00E1138E" w:rsidRDefault="00E1138E" w:rsidP="00E1138E">
      <w:pPr>
        <w:pStyle w:val="Blocktext"/>
        <w:numPr>
          <w:ilvl w:val="0"/>
          <w:numId w:val="6"/>
        </w:numPr>
        <w:spacing w:before="76" w:line="168" w:lineRule="exact"/>
        <w:ind w:right="0"/>
        <w:rPr>
          <w:rFonts w:ascii="Times New Roman" w:hAnsi="Times New Roman" w:cs="Times New Roman"/>
        </w:rPr>
      </w:pPr>
      <w:r>
        <w:rPr>
          <w:rFonts w:ascii="Times New Roman" w:hAnsi="Times New Roman" w:cs="Times New Roman"/>
        </w:rPr>
        <w:t xml:space="preserve">Der Vertrag endet durch Erfüllung der vereinbarten Leistungen, durch Ablauf der vereinbarten Laufzeit oder durch Kündigung. Der Vertrag endet nicht durch den Tod, durch den Eintritt der Geschäftsunfähigkeit des Auftraggebers oder im Falle einer Gesellschaft durch deren Auflösung. </w:t>
      </w:r>
    </w:p>
    <w:p w:rsidR="00E1138E" w:rsidRDefault="00E1138E" w:rsidP="00E1138E">
      <w:pPr>
        <w:numPr>
          <w:ilvl w:val="0"/>
          <w:numId w:val="6"/>
        </w:numPr>
        <w:spacing w:before="72" w:line="182" w:lineRule="exact"/>
        <w:jc w:val="both"/>
        <w:rPr>
          <w:sz w:val="16"/>
          <w:szCs w:val="16"/>
        </w:rPr>
      </w:pPr>
      <w:r>
        <w:rPr>
          <w:sz w:val="16"/>
          <w:szCs w:val="16"/>
        </w:rPr>
        <w:t xml:space="preserve">Der Vertrag kann - wenn und soweit er einen Dienstvertrag i. S. d. §§ 611, 675 BGB darstellt - von jedem Vertragspartner außerordentlich gekündigt werden, es sei denn, es handelt sich um ein Dienstverhältnis mit festen Bezügen, § 627 Abs. 1 BGB; die Kündigung hat in Textform zu erfolgen. Soweit im Einzelfall hiervon abgewichen werden soll, bedarf es einer Vereinbarung, die zwischen Steuerberater und Auftraggeber auszuhandeln ist. </w:t>
      </w:r>
    </w:p>
    <w:p w:rsidR="00E1138E" w:rsidRPr="000C4DD8" w:rsidRDefault="00E1138E" w:rsidP="00E1138E">
      <w:pPr>
        <w:numPr>
          <w:ilvl w:val="0"/>
          <w:numId w:val="6"/>
        </w:numPr>
        <w:spacing w:before="57" w:line="177" w:lineRule="exact"/>
        <w:jc w:val="both"/>
        <w:rPr>
          <w:sz w:val="16"/>
          <w:szCs w:val="16"/>
        </w:rPr>
      </w:pPr>
      <w:r w:rsidRPr="000C4DD8">
        <w:rPr>
          <w:sz w:val="16"/>
          <w:szCs w:val="16"/>
        </w:rPr>
        <w:t xml:space="preserve">Bei Kündigung des Vertrags durch den Steuerberater sind zur Vermeidung von Rechtsverlusten des Auftraggebers in jedem Fall noch diejenigen Handlungen </w:t>
      </w:r>
      <w:r>
        <w:rPr>
          <w:sz w:val="16"/>
          <w:szCs w:val="16"/>
        </w:rPr>
        <w:t xml:space="preserve">durch den Steuerberater </w:t>
      </w:r>
      <w:r w:rsidRPr="000C4DD8">
        <w:rPr>
          <w:sz w:val="16"/>
          <w:szCs w:val="16"/>
        </w:rPr>
        <w:t xml:space="preserve">vorzunehmen, die zumutbar sind und keinen Aufschub dulden (z. B. Fristverlängerungsantrag bei drohendem Fristablauf). </w:t>
      </w:r>
    </w:p>
    <w:p w:rsidR="00E1138E" w:rsidRDefault="00E1138E" w:rsidP="00E1138E">
      <w:pPr>
        <w:numPr>
          <w:ilvl w:val="0"/>
          <w:numId w:val="6"/>
        </w:numPr>
        <w:spacing w:before="57" w:line="177" w:lineRule="exact"/>
        <w:jc w:val="both"/>
        <w:rPr>
          <w:sz w:val="16"/>
          <w:szCs w:val="16"/>
        </w:rPr>
      </w:pPr>
      <w:r w:rsidRPr="000C4DD8">
        <w:rPr>
          <w:sz w:val="16"/>
          <w:szCs w:val="16"/>
        </w:rPr>
        <w:lastRenderedPageBreak/>
        <w:t xml:space="preserve">Der Steuerberater ist verpflichtet, dem Auftraggeber alles, was er zur Ausführung des Auftrags erhält oder erhalten hat und was er aus der Geschäftsbesorgung erlangt, herauszugeben. Außerdem ist der Steuerberater verpflichtet, dem Auftraggeber </w:t>
      </w:r>
      <w:r>
        <w:rPr>
          <w:sz w:val="16"/>
          <w:szCs w:val="16"/>
        </w:rPr>
        <w:t xml:space="preserve">auf Verlangen über den Stand </w:t>
      </w:r>
      <w:r w:rsidRPr="000C4DD8">
        <w:rPr>
          <w:sz w:val="16"/>
          <w:szCs w:val="16"/>
        </w:rPr>
        <w:t xml:space="preserve">der Angelegenheit Auskunft zu erteilen und Rechenschaft abzulegen. </w:t>
      </w:r>
    </w:p>
    <w:p w:rsidR="00E1138E" w:rsidRDefault="00E1138E" w:rsidP="00E1138E">
      <w:pPr>
        <w:numPr>
          <w:ilvl w:val="0"/>
          <w:numId w:val="6"/>
        </w:numPr>
        <w:spacing w:before="67" w:line="177" w:lineRule="exact"/>
        <w:jc w:val="both"/>
        <w:rPr>
          <w:sz w:val="16"/>
          <w:szCs w:val="16"/>
        </w:rPr>
      </w:pPr>
      <w:r>
        <w:rPr>
          <w:sz w:val="16"/>
          <w:szCs w:val="16"/>
        </w:rPr>
        <w:t xml:space="preserve">Mit Beendigung des Vertrags hat der Auftraggeber dem Steuerberater die bei ihm zur Ausführung des Auftrags eingesetzten Datenverarbeitungsprogramme einschließlich angefertigter Kopien sowie sonstige Programmunterlagen unverzüglich herauszugeben bzw. sie von der Festplatte zu löschen. </w:t>
      </w:r>
    </w:p>
    <w:p w:rsidR="00E1138E" w:rsidRDefault="00E1138E" w:rsidP="00E1138E">
      <w:pPr>
        <w:numPr>
          <w:ilvl w:val="0"/>
          <w:numId w:val="6"/>
        </w:numPr>
        <w:spacing w:before="52" w:line="182" w:lineRule="exact"/>
        <w:jc w:val="both"/>
        <w:rPr>
          <w:sz w:val="16"/>
          <w:szCs w:val="16"/>
        </w:rPr>
      </w:pPr>
      <w:r>
        <w:rPr>
          <w:sz w:val="16"/>
          <w:szCs w:val="16"/>
        </w:rPr>
        <w:t xml:space="preserve">Nach Beendigung des Mandatsverhältnisses sind die Unterlagen beim Steuerberater abzuholen. </w:t>
      </w:r>
    </w:p>
    <w:p w:rsidR="00E1138E" w:rsidRDefault="00E1138E" w:rsidP="00E1138E">
      <w:pPr>
        <w:numPr>
          <w:ilvl w:val="0"/>
          <w:numId w:val="6"/>
        </w:numPr>
        <w:spacing w:before="52" w:line="182" w:lineRule="exact"/>
        <w:jc w:val="both"/>
        <w:rPr>
          <w:sz w:val="16"/>
          <w:szCs w:val="16"/>
        </w:rPr>
      </w:pPr>
      <w:r>
        <w:rPr>
          <w:sz w:val="16"/>
          <w:szCs w:val="16"/>
        </w:rPr>
        <w:t>Endet der Auftrag vor seiner vollständigen Ausführung, so richtet sich der Vergütungsanspruch des Steuerberaters nach dem Gesetz. Soweit im Einzelfall hiervon abgewichen werden soll, bedarf es einer gesonderten Vereinbarung in Textform.</w:t>
      </w:r>
    </w:p>
    <w:p w:rsidR="00E1138E" w:rsidRDefault="00E1138E" w:rsidP="00E1138E">
      <w:pPr>
        <w:spacing w:before="225" w:line="168" w:lineRule="exact"/>
        <w:jc w:val="both"/>
        <w:rPr>
          <w:b/>
          <w:bCs/>
          <w:sz w:val="16"/>
          <w:szCs w:val="16"/>
        </w:rPr>
      </w:pPr>
      <w:r>
        <w:rPr>
          <w:b/>
          <w:bCs/>
          <w:sz w:val="16"/>
          <w:szCs w:val="16"/>
        </w:rPr>
        <w:t xml:space="preserve">10. Aufbewahrung, Herausgabe und Zurückbehaltungsrecht von Arbeitsergebnissen und Unterlagen </w:t>
      </w:r>
    </w:p>
    <w:p w:rsidR="00E1138E" w:rsidRDefault="00E1138E" w:rsidP="00E1138E">
      <w:pPr>
        <w:numPr>
          <w:ilvl w:val="0"/>
          <w:numId w:val="7"/>
        </w:numPr>
        <w:spacing w:before="38" w:line="182" w:lineRule="exact"/>
        <w:jc w:val="both"/>
        <w:rPr>
          <w:sz w:val="16"/>
          <w:szCs w:val="16"/>
        </w:rPr>
      </w:pPr>
      <w:r>
        <w:rPr>
          <w:sz w:val="16"/>
          <w:szCs w:val="16"/>
        </w:rPr>
        <w:t xml:space="preserve">Der Steuerberater hat die Handakten auf die Dauer von zehn Jahren nach Beendigung des Auftrags aufzubewahren. Diese Verpflichtung erlischt jedoch schon vor Beendigung dieses Zeitraums, wenn der Steuerberater den Auftraggeber aufgefordert hat, die Handakten in Empfang zu nehmen, und der Auftraggeber dieser Aufforderung binnen sechs Monaten, nachdem er sie erhalten hat, nicht nachgekommen ist. </w:t>
      </w:r>
    </w:p>
    <w:p w:rsidR="00E1138E" w:rsidRDefault="00E1138E" w:rsidP="00E1138E">
      <w:pPr>
        <w:numPr>
          <w:ilvl w:val="0"/>
          <w:numId w:val="7"/>
        </w:numPr>
        <w:spacing w:before="62" w:line="182" w:lineRule="exact"/>
        <w:jc w:val="both"/>
        <w:rPr>
          <w:sz w:val="16"/>
          <w:szCs w:val="16"/>
        </w:rPr>
      </w:pPr>
      <w:r>
        <w:rPr>
          <w:sz w:val="16"/>
          <w:szCs w:val="16"/>
        </w:rPr>
        <w:t xml:space="preserve">Handakten i. S. v. Abs. 1 sind nur die Schriftstücke, die der Steuerberater aus Anlass seiner beruflichen Tätigkeit von dem Auftraggeber oder für ihn erhalten hat, nicht aber der Briefwechsel zwischen dem Steuerberater und seinem Auftraggeber und für die Schriftstücke, die dieser bereits in Urschrift oder Abschrift erhalten hat, sowie für die zu internen Zwecken gefertigten Arbeitspapiere (§ 66 Abs. 3 </w:t>
      </w:r>
      <w:proofErr w:type="spellStart"/>
      <w:r>
        <w:rPr>
          <w:sz w:val="16"/>
          <w:szCs w:val="16"/>
        </w:rPr>
        <w:t>StBG</w:t>
      </w:r>
      <w:proofErr w:type="spellEnd"/>
      <w:r>
        <w:rPr>
          <w:sz w:val="16"/>
          <w:szCs w:val="16"/>
        </w:rPr>
        <w:t>).</w:t>
      </w:r>
    </w:p>
    <w:p w:rsidR="00E1138E" w:rsidRDefault="00E1138E" w:rsidP="00E1138E">
      <w:pPr>
        <w:numPr>
          <w:ilvl w:val="0"/>
          <w:numId w:val="7"/>
        </w:numPr>
        <w:spacing w:before="57" w:line="187" w:lineRule="exact"/>
        <w:jc w:val="both"/>
        <w:rPr>
          <w:sz w:val="16"/>
          <w:szCs w:val="16"/>
        </w:rPr>
      </w:pPr>
      <w:r>
        <w:rPr>
          <w:sz w:val="16"/>
          <w:szCs w:val="16"/>
        </w:rPr>
        <w:t xml:space="preserve">Auf Anforderung des Auftraggebers, spätestens aber nach Beendigung des Auftrags, hat der Steuerberater dem Auftraggeber die Handakten innerhalb einer angemessenen Frist herauszugeben. Der Steuerberater kann von Unterlagen, die er an den Auftraggeber zurückgibt, Abschriften oder Fotokopien anfertigen und zurückbehalten. </w:t>
      </w:r>
    </w:p>
    <w:p w:rsidR="00E1138E" w:rsidRDefault="00E1138E" w:rsidP="00E1138E">
      <w:pPr>
        <w:numPr>
          <w:ilvl w:val="0"/>
          <w:numId w:val="7"/>
        </w:numPr>
        <w:spacing w:before="62" w:line="182" w:lineRule="exact"/>
        <w:jc w:val="both"/>
        <w:rPr>
          <w:sz w:val="16"/>
          <w:szCs w:val="16"/>
        </w:rPr>
      </w:pPr>
      <w:r>
        <w:rPr>
          <w:sz w:val="16"/>
          <w:szCs w:val="16"/>
        </w:rPr>
        <w:t>Der Steuerberater kann die Herausgabe der Handakten verweigern, bis er wegen seiner Gebühren und Auslagen befriedigt ist. Dies gilt nicht, soweit die Vorenthaltung der Handakten und der einzelnen Schriftstücke nach den Umständen unangemessen ist (§ 66 Abs. 2 S. 2 StBerG)</w:t>
      </w:r>
    </w:p>
    <w:p w:rsidR="00E1138E" w:rsidRDefault="00E1138E" w:rsidP="00E1138E">
      <w:pPr>
        <w:spacing w:before="172" w:line="182" w:lineRule="exact"/>
        <w:jc w:val="both"/>
        <w:rPr>
          <w:b/>
          <w:bCs/>
          <w:sz w:val="16"/>
          <w:szCs w:val="16"/>
        </w:rPr>
      </w:pPr>
      <w:r>
        <w:rPr>
          <w:b/>
          <w:bCs/>
          <w:sz w:val="16"/>
          <w:szCs w:val="16"/>
        </w:rPr>
        <w:t xml:space="preserve">11. Sonstiges </w:t>
      </w:r>
    </w:p>
    <w:p w:rsidR="00E1138E" w:rsidRPr="000C4DD8" w:rsidRDefault="00E1138E" w:rsidP="00E1138E">
      <w:pPr>
        <w:spacing w:before="67"/>
        <w:jc w:val="both"/>
        <w:rPr>
          <w:sz w:val="16"/>
          <w:szCs w:val="16"/>
        </w:rPr>
      </w:pPr>
      <w:r>
        <w:rPr>
          <w:sz w:val="16"/>
          <w:szCs w:val="16"/>
        </w:rPr>
        <w:t xml:space="preserve">Für den Auftrag, seine Ausführung und die sich hieraus ergebenden Ansprüche gilt ausschließlich deutsches Recht. </w:t>
      </w:r>
      <w:r w:rsidRPr="000C4DD8">
        <w:rPr>
          <w:sz w:val="16"/>
        </w:rPr>
        <w:t>Erfüllungsort ist der Wohnsitz des Auftra</w:t>
      </w:r>
      <w:r>
        <w:rPr>
          <w:sz w:val="16"/>
        </w:rPr>
        <w:t>ggebers, wenn er nicht Kaufmann, juristische Person des öffentlichen Rechts oder öffentlich-rechtlichen Sondervermögens ist, ansonsten die berufliche Niederlassung des Steuerberaters. Der Steuerberater ist – nicht – bereit, an einem Streitbeilegungsverfahren von einer Verbraucherschlichtungsstelle teilzunehmen (§§ 36, 37 VSBG).</w:t>
      </w:r>
    </w:p>
    <w:p w:rsidR="00E1138E" w:rsidRDefault="00E1138E" w:rsidP="00E1138E">
      <w:pPr>
        <w:pStyle w:val="Textkrper-Zeileneinzug"/>
        <w:spacing w:line="240" w:lineRule="auto"/>
        <w:ind w:right="0"/>
        <w:rPr>
          <w:b/>
          <w:bCs/>
        </w:rPr>
      </w:pPr>
      <w:r>
        <w:rPr>
          <w:b/>
          <w:bCs/>
        </w:rPr>
        <w:t>12. Wirksamkeit bei Teilnichtigkeit</w:t>
      </w:r>
    </w:p>
    <w:p w:rsidR="00E1138E" w:rsidRDefault="00E1138E" w:rsidP="00E1138E">
      <w:pPr>
        <w:pStyle w:val="Textkrper-Zeileneinzug"/>
        <w:numPr>
          <w:ilvl w:val="0"/>
          <w:numId w:val="8"/>
        </w:numPr>
        <w:spacing w:line="240" w:lineRule="auto"/>
        <w:ind w:right="0"/>
      </w:pPr>
      <w:r>
        <w:t xml:space="preserve">Falls einzelne Bestimmungen dieser Auftragsbedingungen unwirksam sein oder werden sollten, wird die Wirksamkeit der übrigen Bestimmungen dadurch nicht berührt. Die unwirksame Bestimmung ist durch eine gültige zu ersetzen, die dem angestrebten Ziel möglichst nahe kommt. </w:t>
      </w:r>
    </w:p>
    <w:p w:rsidR="00E1138E" w:rsidRDefault="00E1138E" w:rsidP="00E1138E">
      <w:pPr>
        <w:pBdr>
          <w:bottom w:val="single" w:sz="4" w:space="1" w:color="auto"/>
        </w:pBdr>
        <w:spacing w:before="28" w:line="206" w:lineRule="exact"/>
        <w:ind w:left="180"/>
        <w:jc w:val="both"/>
        <w:rPr>
          <w:sz w:val="16"/>
          <w:szCs w:val="16"/>
        </w:rPr>
      </w:pPr>
    </w:p>
    <w:p w:rsidR="00E1138E" w:rsidRDefault="00E1138E" w:rsidP="00E1138E">
      <w:pPr>
        <w:pStyle w:val="berschrift1"/>
        <w:ind w:left="2124" w:firstLine="708"/>
      </w:pPr>
      <w:r>
        <w:t xml:space="preserve">                                                                                                                                                                                                                                                                                                                                                                                                                                                                                                                                                                                                                                                                                                                                                                                                                                                                                                                                                                                                                                                                                                                                                                                                                                                                                                                                                                                                                                                                                                                                                                                                                                                                                                                                                                                                                                                                                                                                                                                                                                                                     </w:t>
      </w:r>
    </w:p>
    <w:p w:rsidR="00E1138E" w:rsidRDefault="00E1138E" w:rsidP="00E1138E">
      <w:pPr>
        <w:pStyle w:val="berschrift1"/>
        <w:jc w:val="center"/>
        <w:rPr>
          <w:sz w:val="22"/>
          <w:szCs w:val="24"/>
        </w:rPr>
      </w:pPr>
    </w:p>
    <w:p w:rsidR="002350F1" w:rsidRDefault="002350F1">
      <w:bookmarkStart w:id="0" w:name="_GoBack"/>
      <w:bookmarkEnd w:id="0"/>
    </w:p>
    <w:sectPr w:rsidR="002350F1" w:rsidSect="00FC248B">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418" w:header="720" w:footer="720" w:gutter="0"/>
      <w:paperSrc w:first="3" w:other="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B5" w:rsidRDefault="00E113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B5" w:rsidRDefault="00E1138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B5" w:rsidRDefault="00E1138E">
    <w:pPr>
      <w:pStyle w:val="Fuzeil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B5" w:rsidRDefault="00E113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B5" w:rsidRDefault="00E1138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B5" w:rsidRDefault="00E113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31A6"/>
    <w:multiLevelType w:val="hybridMultilevel"/>
    <w:tmpl w:val="C212DB8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85D67EB"/>
    <w:multiLevelType w:val="hybridMultilevel"/>
    <w:tmpl w:val="C09A470A"/>
    <w:lvl w:ilvl="0" w:tplc="04070015">
      <w:start w:val="1"/>
      <w:numFmt w:val="decimal"/>
      <w:lvlText w:val="(%1)"/>
      <w:lvlJc w:val="left"/>
      <w:pPr>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3D2C0733"/>
    <w:multiLevelType w:val="hybridMultilevel"/>
    <w:tmpl w:val="CB9483EE"/>
    <w:lvl w:ilvl="0" w:tplc="04070015">
      <w:start w:val="1"/>
      <w:numFmt w:val="decimal"/>
      <w:lvlText w:val="(%1)"/>
      <w:lvlJc w:val="left"/>
      <w:pPr>
        <w:tabs>
          <w:tab w:val="num" w:pos="360"/>
        </w:tabs>
        <w:ind w:left="360" w:hanging="360"/>
      </w:pPr>
    </w:lvl>
    <w:lvl w:ilvl="1" w:tplc="04070019">
      <w:start w:val="1"/>
      <w:numFmt w:val="decimal"/>
      <w:lvlText w:val="%2."/>
      <w:lvlJc w:val="left"/>
      <w:pPr>
        <w:tabs>
          <w:tab w:val="num" w:pos="1260"/>
        </w:tabs>
        <w:ind w:left="1260" w:hanging="360"/>
      </w:pPr>
    </w:lvl>
    <w:lvl w:ilvl="2" w:tplc="0407001B">
      <w:start w:val="1"/>
      <w:numFmt w:val="decimal"/>
      <w:lvlText w:val="%3."/>
      <w:lvlJc w:val="left"/>
      <w:pPr>
        <w:tabs>
          <w:tab w:val="num" w:pos="1980"/>
        </w:tabs>
        <w:ind w:left="1980" w:hanging="360"/>
      </w:pPr>
    </w:lvl>
    <w:lvl w:ilvl="3" w:tplc="0407000F">
      <w:start w:val="1"/>
      <w:numFmt w:val="decimal"/>
      <w:lvlText w:val="%4."/>
      <w:lvlJc w:val="left"/>
      <w:pPr>
        <w:tabs>
          <w:tab w:val="num" w:pos="2700"/>
        </w:tabs>
        <w:ind w:left="2700" w:hanging="360"/>
      </w:pPr>
    </w:lvl>
    <w:lvl w:ilvl="4" w:tplc="04070019">
      <w:start w:val="1"/>
      <w:numFmt w:val="decimal"/>
      <w:lvlText w:val="%5."/>
      <w:lvlJc w:val="left"/>
      <w:pPr>
        <w:tabs>
          <w:tab w:val="num" w:pos="3420"/>
        </w:tabs>
        <w:ind w:left="3420" w:hanging="360"/>
      </w:pPr>
    </w:lvl>
    <w:lvl w:ilvl="5" w:tplc="0407001B">
      <w:start w:val="1"/>
      <w:numFmt w:val="decimal"/>
      <w:lvlText w:val="%6."/>
      <w:lvlJc w:val="left"/>
      <w:pPr>
        <w:tabs>
          <w:tab w:val="num" w:pos="4140"/>
        </w:tabs>
        <w:ind w:left="4140" w:hanging="360"/>
      </w:pPr>
    </w:lvl>
    <w:lvl w:ilvl="6" w:tplc="0407000F">
      <w:start w:val="1"/>
      <w:numFmt w:val="decimal"/>
      <w:lvlText w:val="%7."/>
      <w:lvlJc w:val="left"/>
      <w:pPr>
        <w:tabs>
          <w:tab w:val="num" w:pos="4860"/>
        </w:tabs>
        <w:ind w:left="4860" w:hanging="360"/>
      </w:pPr>
    </w:lvl>
    <w:lvl w:ilvl="7" w:tplc="04070019">
      <w:start w:val="1"/>
      <w:numFmt w:val="decimal"/>
      <w:lvlText w:val="%8."/>
      <w:lvlJc w:val="left"/>
      <w:pPr>
        <w:tabs>
          <w:tab w:val="num" w:pos="5580"/>
        </w:tabs>
        <w:ind w:left="5580" w:hanging="360"/>
      </w:pPr>
    </w:lvl>
    <w:lvl w:ilvl="8" w:tplc="0407001B">
      <w:start w:val="1"/>
      <w:numFmt w:val="decimal"/>
      <w:lvlText w:val="%9."/>
      <w:lvlJc w:val="left"/>
      <w:pPr>
        <w:tabs>
          <w:tab w:val="num" w:pos="6300"/>
        </w:tabs>
        <w:ind w:left="6300" w:hanging="360"/>
      </w:pPr>
    </w:lvl>
  </w:abstractNum>
  <w:abstractNum w:abstractNumId="3" w15:restartNumberingAfterBreak="0">
    <w:nsid w:val="4B757A73"/>
    <w:multiLevelType w:val="hybridMultilevel"/>
    <w:tmpl w:val="1FD8F57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54E529BF"/>
    <w:multiLevelType w:val="hybridMultilevel"/>
    <w:tmpl w:val="7AE41D3C"/>
    <w:lvl w:ilvl="0" w:tplc="04070015">
      <w:start w:val="1"/>
      <w:numFmt w:val="decimal"/>
      <w:lvlText w:val="(%1)"/>
      <w:lvlJc w:val="left"/>
      <w:pPr>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 w15:restartNumberingAfterBreak="0">
    <w:nsid w:val="55A90A11"/>
    <w:multiLevelType w:val="hybridMultilevel"/>
    <w:tmpl w:val="BA7EF2C8"/>
    <w:lvl w:ilvl="0" w:tplc="04070015">
      <w:start w:val="1"/>
      <w:numFmt w:val="decimal"/>
      <w:lvlText w:val="(%1)"/>
      <w:lvlJc w:val="left"/>
      <w:pPr>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 w15:restartNumberingAfterBreak="0">
    <w:nsid w:val="5CCC4995"/>
    <w:multiLevelType w:val="hybridMultilevel"/>
    <w:tmpl w:val="43BA9C32"/>
    <w:lvl w:ilvl="0" w:tplc="04070015">
      <w:start w:val="1"/>
      <w:numFmt w:val="decimal"/>
      <w:lvlText w:val="(%1)"/>
      <w:lvlJc w:val="left"/>
      <w:pPr>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6FA37D40"/>
    <w:multiLevelType w:val="hybridMultilevel"/>
    <w:tmpl w:val="CA62B654"/>
    <w:lvl w:ilvl="0" w:tplc="04070015">
      <w:start w:val="1"/>
      <w:numFmt w:val="decimal"/>
      <w:lvlText w:val="(%1)"/>
      <w:lvlJc w:val="left"/>
      <w:pPr>
        <w:tabs>
          <w:tab w:val="num" w:pos="360"/>
        </w:tabs>
        <w:ind w:left="360" w:hanging="360"/>
      </w:pPr>
    </w:lvl>
    <w:lvl w:ilvl="1" w:tplc="04070019">
      <w:start w:val="1"/>
      <w:numFmt w:val="decimal"/>
      <w:lvlText w:val="%2."/>
      <w:lvlJc w:val="left"/>
      <w:pPr>
        <w:tabs>
          <w:tab w:val="num" w:pos="1298"/>
        </w:tabs>
        <w:ind w:left="1298" w:hanging="360"/>
      </w:pPr>
    </w:lvl>
    <w:lvl w:ilvl="2" w:tplc="0407001B">
      <w:start w:val="1"/>
      <w:numFmt w:val="decimal"/>
      <w:lvlText w:val="%3."/>
      <w:lvlJc w:val="left"/>
      <w:pPr>
        <w:tabs>
          <w:tab w:val="num" w:pos="2018"/>
        </w:tabs>
        <w:ind w:left="2018" w:hanging="360"/>
      </w:pPr>
    </w:lvl>
    <w:lvl w:ilvl="3" w:tplc="0407000F">
      <w:start w:val="1"/>
      <w:numFmt w:val="decimal"/>
      <w:lvlText w:val="%4."/>
      <w:lvlJc w:val="left"/>
      <w:pPr>
        <w:tabs>
          <w:tab w:val="num" w:pos="2738"/>
        </w:tabs>
        <w:ind w:left="2738" w:hanging="360"/>
      </w:pPr>
    </w:lvl>
    <w:lvl w:ilvl="4" w:tplc="04070019">
      <w:start w:val="1"/>
      <w:numFmt w:val="decimal"/>
      <w:lvlText w:val="%5."/>
      <w:lvlJc w:val="left"/>
      <w:pPr>
        <w:tabs>
          <w:tab w:val="num" w:pos="3458"/>
        </w:tabs>
        <w:ind w:left="3458" w:hanging="360"/>
      </w:pPr>
    </w:lvl>
    <w:lvl w:ilvl="5" w:tplc="0407001B">
      <w:start w:val="1"/>
      <w:numFmt w:val="decimal"/>
      <w:lvlText w:val="%6."/>
      <w:lvlJc w:val="left"/>
      <w:pPr>
        <w:tabs>
          <w:tab w:val="num" w:pos="4178"/>
        </w:tabs>
        <w:ind w:left="4178" w:hanging="360"/>
      </w:pPr>
    </w:lvl>
    <w:lvl w:ilvl="6" w:tplc="0407000F">
      <w:start w:val="1"/>
      <w:numFmt w:val="decimal"/>
      <w:lvlText w:val="%7."/>
      <w:lvlJc w:val="left"/>
      <w:pPr>
        <w:tabs>
          <w:tab w:val="num" w:pos="4898"/>
        </w:tabs>
        <w:ind w:left="4898" w:hanging="360"/>
      </w:pPr>
    </w:lvl>
    <w:lvl w:ilvl="7" w:tplc="04070019">
      <w:start w:val="1"/>
      <w:numFmt w:val="decimal"/>
      <w:lvlText w:val="%8."/>
      <w:lvlJc w:val="left"/>
      <w:pPr>
        <w:tabs>
          <w:tab w:val="num" w:pos="5618"/>
        </w:tabs>
        <w:ind w:left="5618" w:hanging="360"/>
      </w:pPr>
    </w:lvl>
    <w:lvl w:ilvl="8" w:tplc="0407001B">
      <w:start w:val="1"/>
      <w:numFmt w:val="decimal"/>
      <w:lvlText w:val="%9."/>
      <w:lvlJc w:val="left"/>
      <w:pPr>
        <w:tabs>
          <w:tab w:val="num" w:pos="6338"/>
        </w:tabs>
        <w:ind w:left="6338" w:hanging="360"/>
      </w:pPr>
    </w:lvl>
  </w:abstractNum>
  <w:abstractNum w:abstractNumId="8" w15:restartNumberingAfterBreak="0">
    <w:nsid w:val="7BD2783C"/>
    <w:multiLevelType w:val="hybridMultilevel"/>
    <w:tmpl w:val="C0B2F2D8"/>
    <w:lvl w:ilvl="0" w:tplc="04070015">
      <w:start w:val="1"/>
      <w:numFmt w:val="decimal"/>
      <w:lvlText w:val="(%1)"/>
      <w:lvlJc w:val="left"/>
      <w:pPr>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7BE6000E"/>
    <w:multiLevelType w:val="hybridMultilevel"/>
    <w:tmpl w:val="B0EE4C98"/>
    <w:lvl w:ilvl="0" w:tplc="04070015">
      <w:start w:val="1"/>
      <w:numFmt w:val="decimal"/>
      <w:lvlText w:val="(%1)"/>
      <w:lvlJc w:val="left"/>
      <w:pPr>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1"/>
  </w:num>
  <w:num w:numId="2">
    <w:abstractNumId w:val="7"/>
  </w:num>
  <w:num w:numId="3">
    <w:abstractNumId w:val="4"/>
  </w:num>
  <w:num w:numId="4">
    <w:abstractNumId w:val="8"/>
  </w:num>
  <w:num w:numId="5">
    <w:abstractNumId w:val="9"/>
  </w:num>
  <w:num w:numId="6">
    <w:abstractNumId w:val="6"/>
  </w:num>
  <w:num w:numId="7">
    <w:abstractNumId w:val="5"/>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8E"/>
    <w:rsid w:val="002350F1"/>
    <w:rsid w:val="00E11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A9FFA-8CB5-4429-B783-3AEACD9F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E1138E"/>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E1138E"/>
    <w:pPr>
      <w:keepNext/>
      <w:outlineLvl w:val="0"/>
    </w:pPr>
    <w:rPr>
      <w:rFonts w:ascii="Arial" w:hAnsi="Arial"/>
      <w:b/>
      <w:sz w:val="24"/>
    </w:rPr>
  </w:style>
  <w:style w:type="paragraph" w:styleId="berschrift2">
    <w:name w:val="heading 2"/>
    <w:basedOn w:val="Standard"/>
    <w:next w:val="Standard"/>
    <w:link w:val="berschrift2Zchn"/>
    <w:qFormat/>
    <w:rsid w:val="00E1138E"/>
    <w:pPr>
      <w:keepNext/>
      <w:jc w:val="center"/>
      <w:outlineLvl w:val="1"/>
    </w:pPr>
    <w:rPr>
      <w:sz w:val="24"/>
    </w:rPr>
  </w:style>
  <w:style w:type="paragraph" w:styleId="berschrift3">
    <w:name w:val="heading 3"/>
    <w:basedOn w:val="Standard"/>
    <w:next w:val="Standard"/>
    <w:link w:val="berschrift3Zchn"/>
    <w:qFormat/>
    <w:rsid w:val="00E1138E"/>
    <w:pPr>
      <w:keepNext/>
      <w:outlineLvl w:val="2"/>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1138E"/>
    <w:rPr>
      <w:rFonts w:ascii="Arial" w:eastAsia="Times New Roman" w:hAnsi="Arial" w:cs="Times New Roman"/>
      <w:b/>
      <w:sz w:val="24"/>
      <w:szCs w:val="20"/>
      <w:lang w:eastAsia="de-DE"/>
    </w:rPr>
  </w:style>
  <w:style w:type="character" w:customStyle="1" w:styleId="berschrift2Zchn">
    <w:name w:val="Überschrift 2 Zchn"/>
    <w:basedOn w:val="Absatz-Standardschriftart"/>
    <w:link w:val="berschrift2"/>
    <w:rsid w:val="00E1138E"/>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E1138E"/>
    <w:rPr>
      <w:rFonts w:ascii="Times New Roman" w:eastAsia="Times New Roman" w:hAnsi="Times New Roman" w:cs="Times New Roman"/>
      <w:sz w:val="24"/>
      <w:szCs w:val="20"/>
      <w:lang w:eastAsia="de-DE"/>
    </w:rPr>
  </w:style>
  <w:style w:type="paragraph" w:styleId="Titel">
    <w:name w:val="Title"/>
    <w:basedOn w:val="Standard"/>
    <w:link w:val="TitelZchn"/>
    <w:qFormat/>
    <w:rsid w:val="00E1138E"/>
    <w:pPr>
      <w:jc w:val="center"/>
    </w:pPr>
    <w:rPr>
      <w:sz w:val="24"/>
    </w:rPr>
  </w:style>
  <w:style w:type="character" w:customStyle="1" w:styleId="TitelZchn">
    <w:name w:val="Titel Zchn"/>
    <w:basedOn w:val="Absatz-Standardschriftart"/>
    <w:link w:val="Titel"/>
    <w:rsid w:val="00E1138E"/>
    <w:rPr>
      <w:rFonts w:ascii="Times New Roman" w:eastAsia="Times New Roman" w:hAnsi="Times New Roman" w:cs="Times New Roman"/>
      <w:sz w:val="24"/>
      <w:szCs w:val="20"/>
      <w:lang w:eastAsia="de-DE"/>
    </w:rPr>
  </w:style>
  <w:style w:type="paragraph" w:styleId="Kopfzeile">
    <w:name w:val="header"/>
    <w:basedOn w:val="Standard"/>
    <w:link w:val="KopfzeileZchn"/>
    <w:rsid w:val="00E1138E"/>
    <w:pPr>
      <w:tabs>
        <w:tab w:val="center" w:pos="4536"/>
        <w:tab w:val="right" w:pos="9072"/>
      </w:tabs>
    </w:pPr>
  </w:style>
  <w:style w:type="character" w:customStyle="1" w:styleId="KopfzeileZchn">
    <w:name w:val="Kopfzeile Zchn"/>
    <w:basedOn w:val="Absatz-Standardschriftart"/>
    <w:link w:val="Kopfzeile"/>
    <w:rsid w:val="00E1138E"/>
    <w:rPr>
      <w:rFonts w:ascii="Times New Roman" w:eastAsia="Times New Roman" w:hAnsi="Times New Roman" w:cs="Times New Roman"/>
      <w:sz w:val="20"/>
      <w:szCs w:val="20"/>
      <w:lang w:eastAsia="de-DE"/>
    </w:rPr>
  </w:style>
  <w:style w:type="paragraph" w:styleId="Fuzeile">
    <w:name w:val="footer"/>
    <w:basedOn w:val="Standard"/>
    <w:link w:val="FuzeileZchn"/>
    <w:rsid w:val="00E1138E"/>
    <w:pPr>
      <w:tabs>
        <w:tab w:val="center" w:pos="4536"/>
        <w:tab w:val="right" w:pos="9072"/>
      </w:tabs>
    </w:pPr>
  </w:style>
  <w:style w:type="character" w:customStyle="1" w:styleId="FuzeileZchn">
    <w:name w:val="Fußzeile Zchn"/>
    <w:basedOn w:val="Absatz-Standardschriftart"/>
    <w:link w:val="Fuzeile"/>
    <w:rsid w:val="00E1138E"/>
    <w:rPr>
      <w:rFonts w:ascii="Times New Roman" w:eastAsia="Times New Roman" w:hAnsi="Times New Roman" w:cs="Times New Roman"/>
      <w:sz w:val="20"/>
      <w:szCs w:val="20"/>
      <w:lang w:eastAsia="de-DE"/>
    </w:rPr>
  </w:style>
  <w:style w:type="paragraph" w:styleId="Blocktext">
    <w:name w:val="Block Text"/>
    <w:basedOn w:val="Standard"/>
    <w:rsid w:val="00E1138E"/>
    <w:pPr>
      <w:autoSpaceDE w:val="0"/>
      <w:autoSpaceDN w:val="0"/>
      <w:spacing w:before="62" w:line="196" w:lineRule="exact"/>
      <w:ind w:left="426" w:right="1122" w:hanging="284"/>
      <w:jc w:val="both"/>
    </w:pPr>
    <w:rPr>
      <w:rFonts w:ascii="Arial" w:hAnsi="Arial" w:cs="Arial"/>
      <w:sz w:val="16"/>
      <w:szCs w:val="16"/>
    </w:rPr>
  </w:style>
  <w:style w:type="paragraph" w:styleId="Textkrper-Zeileneinzug">
    <w:name w:val="Body Text Indent"/>
    <w:basedOn w:val="Standard"/>
    <w:link w:val="Textkrper-ZeileneinzugZchn"/>
    <w:rsid w:val="00E1138E"/>
    <w:pPr>
      <w:spacing w:before="76" w:line="168" w:lineRule="exact"/>
      <w:ind w:right="493"/>
      <w:jc w:val="both"/>
    </w:pPr>
    <w:rPr>
      <w:sz w:val="16"/>
      <w:szCs w:val="16"/>
    </w:rPr>
  </w:style>
  <w:style w:type="character" w:customStyle="1" w:styleId="Textkrper-ZeileneinzugZchn">
    <w:name w:val="Textkörper-Zeileneinzug Zchn"/>
    <w:basedOn w:val="Absatz-Standardschriftart"/>
    <w:link w:val="Textkrper-Zeileneinzug"/>
    <w:rsid w:val="00E1138E"/>
    <w:rPr>
      <w:rFonts w:ascii="Times New Roman" w:eastAsia="Times New Roman" w:hAnsi="Times New Roman" w:cs="Times New Roman"/>
      <w:sz w:val="16"/>
      <w:szCs w:val="16"/>
      <w:lang w:eastAsia="de-DE"/>
    </w:rPr>
  </w:style>
  <w:style w:type="paragraph" w:styleId="Textkrper-Einzug2">
    <w:name w:val="Body Text Indent 2"/>
    <w:basedOn w:val="Standard"/>
    <w:link w:val="Textkrper-Einzug2Zchn"/>
    <w:rsid w:val="00E1138E"/>
    <w:pPr>
      <w:ind w:left="426" w:hanging="426"/>
    </w:pPr>
    <w:rPr>
      <w:sz w:val="24"/>
    </w:rPr>
  </w:style>
  <w:style w:type="character" w:customStyle="1" w:styleId="Textkrper-Einzug2Zchn">
    <w:name w:val="Textkörper-Einzug 2 Zchn"/>
    <w:basedOn w:val="Absatz-Standardschriftart"/>
    <w:link w:val="Textkrper-Einzug2"/>
    <w:rsid w:val="00E1138E"/>
    <w:rPr>
      <w:rFonts w:ascii="Times New Roman" w:eastAsia="Times New Roman" w:hAnsi="Times New Roman" w:cs="Times New Roman"/>
      <w:sz w:val="24"/>
      <w:szCs w:val="20"/>
      <w:lang w:eastAsia="de-DE"/>
    </w:rPr>
  </w:style>
  <w:style w:type="paragraph" w:styleId="Textkrper-Einzug3">
    <w:name w:val="Body Text Indent 3"/>
    <w:basedOn w:val="Standard"/>
    <w:link w:val="Textkrper-Einzug3Zchn"/>
    <w:rsid w:val="00E1138E"/>
    <w:pPr>
      <w:ind w:left="567" w:hanging="567"/>
    </w:pPr>
    <w:rPr>
      <w:sz w:val="22"/>
      <w:szCs w:val="22"/>
    </w:rPr>
  </w:style>
  <w:style w:type="character" w:customStyle="1" w:styleId="Textkrper-Einzug3Zchn">
    <w:name w:val="Textkörper-Einzug 3 Zchn"/>
    <w:basedOn w:val="Absatz-Standardschriftart"/>
    <w:link w:val="Textkrper-Einzug3"/>
    <w:rsid w:val="00E1138E"/>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5c4392d1-5496-4006-acb5-67858f5b91a9</BSO999929>
</file>

<file path=customXml/itemProps1.xml><?xml version="1.0" encoding="utf-8"?>
<ds:datastoreItem xmlns:ds="http://schemas.openxmlformats.org/officeDocument/2006/customXml" ds:itemID="{87B0C78A-E8C5-4316-9646-1D20AA38C05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3226</Words>
  <Characters>20325</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Espach</dc:creator>
  <cp:keywords/>
  <dc:description/>
  <cp:lastModifiedBy>Katharina Espach</cp:lastModifiedBy>
  <cp:revision>1</cp:revision>
  <dcterms:created xsi:type="dcterms:W3CDTF">2017-02-02T13:24:00Z</dcterms:created>
  <dcterms:modified xsi:type="dcterms:W3CDTF">2017-02-02T13:24:00Z</dcterms:modified>
</cp:coreProperties>
</file>